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年第</w:t>
      </w:r>
      <w:r>
        <w:rPr>
          <w:rFonts w:hint="eastAsia" w:ascii="宋体" w:hAnsi="宋体" w:cs="宋体"/>
          <w:sz w:val="28"/>
          <w:szCs w:val="28"/>
          <w:lang w:val="en-US" w:eastAsia="zh-CN"/>
        </w:rPr>
        <w:t>3</w:t>
      </w:r>
      <w:r>
        <w:rPr>
          <w:rFonts w:hint="eastAsia" w:ascii="宋体" w:hAnsi="宋体" w:eastAsia="宋体" w:cs="宋体"/>
          <w:sz w:val="28"/>
          <w:szCs w:val="28"/>
        </w:rPr>
        <w:t>期 总第</w:t>
      </w:r>
      <w:r>
        <w:rPr>
          <w:rFonts w:hint="eastAsia" w:ascii="宋体" w:hAnsi="宋体" w:cs="宋体"/>
          <w:sz w:val="28"/>
          <w:szCs w:val="28"/>
          <w:lang w:val="en-US" w:eastAsia="zh-CN"/>
        </w:rPr>
        <w:t>157</w:t>
      </w:r>
      <w:r>
        <w:rPr>
          <w:rFonts w:hint="eastAsia" w:ascii="宋体" w:hAnsi="宋体" w:eastAsia="宋体" w:cs="宋体"/>
          <w:sz w:val="28"/>
          <w:szCs w:val="28"/>
        </w:rPr>
        <w:t>期</w:t>
      </w:r>
    </w:p>
    <w:p>
      <w:pPr>
        <w:spacing w:line="360" w:lineRule="exact"/>
        <w:jc w:val="center"/>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w:t>
      </w:r>
      <w:r>
        <w:rPr>
          <w:rFonts w:hint="eastAsia" w:ascii="宋体" w:hAnsi="宋体" w:cs="宋体"/>
          <w:sz w:val="28"/>
          <w:szCs w:val="28"/>
          <w:lang w:val="en-US" w:eastAsia="zh-CN"/>
        </w:rPr>
        <w:t>3</w:t>
      </w:r>
      <w:r>
        <w:rPr>
          <w:rFonts w:hint="eastAsia" w:ascii="宋体" w:hAnsi="宋体" w:eastAsia="宋体" w:cs="宋体"/>
          <w:sz w:val="28"/>
          <w:szCs w:val="28"/>
        </w:rPr>
        <w:t>月</w:t>
      </w:r>
      <w:r>
        <w:rPr>
          <w:rFonts w:hint="eastAsia" w:ascii="宋体" w:hAnsi="宋体" w:cs="宋体"/>
          <w:sz w:val="28"/>
          <w:szCs w:val="28"/>
          <w:lang w:val="en-US" w:eastAsia="zh-CN"/>
        </w:rPr>
        <w:t>13</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numPr>
          <w:ilvl w:val="0"/>
          <w:numId w:val="0"/>
        </w:numPr>
        <w:ind w:leftChars="0"/>
        <w:jc w:val="center"/>
        <w:rPr>
          <w:rFonts w:hint="eastAsia"/>
        </w:rPr>
      </w:pPr>
      <w:bookmarkStart w:id="0" w:name="_GoBack"/>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121285</wp:posOffset>
                </wp:positionV>
                <wp:extent cx="5257800" cy="2540"/>
                <wp:effectExtent l="0" t="0" r="0" b="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60288;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VxOrItYAAAAGAQAADwAAAAAAAAABACAAAAAiAAAA&#10;ZHJzL2Rvd25yZXYueG1sUEsBAhQAFAAAAAgAh07iQIJ8JsDQAQAAmwMAAA4AAAAAAAAAAQAgAAAA&#10;JQEAAGRycy9lMm9Eb2MueG1sUEsFBgAAAAAGAAYAWQEAAGcFA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2019年日化行业会议活动</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江苏省市场监管局召开实施“三定”工作动员部署会</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全国人大代表：要正确对待理性思考精细化工产业发展</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《产品质量法》在化妆品执法中的法律适用</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国家标准委印发《2019年全国标准化工作要点》</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李克强主持召开国务院常务会议要求制定涉企法规规章和规范性文件必须听取相关企业和行业协会商会意见等</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国务院关于取消和下放一批行政许可事项的决定</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2019年国家化妆品监督抽检检测要求</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化妆品产品研发中常见问题解决方案</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新规：进口非特化妆品备案电子信息凭证不再设定有效期</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进口非特殊用途化妆品备案详解</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药监局：化妆品添加微量防腐剂可不在产品标签上进行标注</w:t>
      </w:r>
    </w:p>
    <w:p>
      <w:pPr>
        <w:keepNext w:val="0"/>
        <w:keepLines w:val="0"/>
        <w:pageBreakBefore w:val="0"/>
        <w:widowControl w:val="0"/>
        <w:numPr>
          <w:ilvl w:val="0"/>
          <w:numId w:val="1"/>
        </w:numPr>
        <w:kinsoku/>
        <w:wordWrap/>
        <w:overflowPunct/>
        <w:topLinePunct w:val="0"/>
        <w:autoSpaceDE/>
        <w:autoSpaceDN/>
        <w:bidi w:val="0"/>
        <w:adjustRightInd/>
        <w:snapToGrid/>
        <w:spacing w:line="620" w:lineRule="atLeast"/>
        <w:ind w:left="420" w:leftChars="0" w:hanging="420" w:firstLineChars="0"/>
        <w:textAlignment w:val="auto"/>
        <w:rPr>
          <w:rFonts w:hint="eastAsia"/>
          <w:lang w:val="en-US" w:eastAsia="zh-CN"/>
        </w:rPr>
      </w:pPr>
      <w:r>
        <w:rPr>
          <w:rFonts w:hint="eastAsia" w:asciiTheme="minorEastAsia" w:hAnsiTheme="minorEastAsia" w:eastAsiaTheme="minorEastAsia" w:cstheme="minorEastAsia"/>
          <w:sz w:val="24"/>
          <w:szCs w:val="24"/>
          <w:lang w:val="en-US" w:eastAsia="zh-CN"/>
        </w:rPr>
        <w:t>关于发布《过碳酸钠消毒剂卫生要求》等6项推荐性卫生行业标准的通告</w:t>
      </w:r>
    </w:p>
    <w:p/>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黑体" w:hAnsi="黑体" w:eastAsia="黑体" w:cs="黑体"/>
          <w:b w:val="0"/>
          <w:bCs/>
          <w:i w:val="0"/>
          <w:color w:val="auto"/>
          <w:kern w:val="0"/>
          <w:sz w:val="36"/>
          <w:szCs w:val="36"/>
          <w:u w:val="none"/>
          <w:lang w:val="en-US" w:eastAsia="zh-CN" w:bidi="ar"/>
        </w:rPr>
        <w:sectPr>
          <w:footerReference r:id="rId3" w:type="default"/>
          <w:pgSz w:w="11906" w:h="16838"/>
          <w:pgMar w:top="2239" w:right="1928" w:bottom="2239" w:left="1928" w:header="851" w:footer="1984" w:gutter="0"/>
          <w:pgNumType w:fmt="decimal"/>
          <w:cols w:space="0" w:num="1"/>
          <w:rtlGutter w:val="0"/>
          <w:docGrid w:type="lines" w:linePitch="312" w:charSpace="0"/>
        </w:sectPr>
      </w:pPr>
    </w:p>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黑体" w:hAnsi="黑体" w:eastAsia="黑体" w:cs="黑体"/>
          <w:b w:val="0"/>
          <w:bCs/>
          <w:i w:val="0"/>
          <w:color w:val="auto"/>
          <w:kern w:val="0"/>
          <w:sz w:val="36"/>
          <w:szCs w:val="36"/>
          <w:u w:val="none"/>
          <w:lang w:val="en-US" w:eastAsia="zh-CN" w:bidi="ar"/>
        </w:rPr>
      </w:pPr>
      <w:r>
        <w:rPr>
          <w:rFonts w:hint="eastAsia" w:ascii="黑体" w:hAnsi="黑体" w:eastAsia="黑体" w:cs="黑体"/>
          <w:b w:val="0"/>
          <w:bCs/>
          <w:i w:val="0"/>
          <w:color w:val="auto"/>
          <w:kern w:val="0"/>
          <w:sz w:val="36"/>
          <w:szCs w:val="36"/>
          <w:u w:val="none"/>
          <w:lang w:val="en-US" w:eastAsia="zh-CN" w:bidi="ar"/>
        </w:rPr>
        <w:t>2019年日化行业会议活动</w:t>
      </w:r>
    </w:p>
    <w:tbl>
      <w:tblPr>
        <w:tblStyle w:val="6"/>
        <w:tblW w:w="8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42"/>
        <w:gridCol w:w="2291"/>
        <w:gridCol w:w="1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8080"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2019年中国洗协部分会议活动安排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eastAsiaTheme="minorEastAsia" w:cstheme="minorEastAsia"/>
                <w:b w:val="0"/>
                <w:bCs/>
                <w:i w:val="0"/>
                <w:color w:val="auto"/>
                <w:kern w:val="0"/>
                <w:sz w:val="21"/>
                <w:szCs w:val="21"/>
                <w:u w:val="none"/>
                <w:lang w:val="en-US" w:eastAsia="zh-CN" w:bidi="ar"/>
              </w:rPr>
              <w:t>活  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eastAsiaTheme="minorEastAsia" w:cstheme="minorEastAsia"/>
                <w:b w:val="0"/>
                <w:bCs/>
                <w:i w:val="0"/>
                <w:color w:val="auto"/>
                <w:kern w:val="0"/>
                <w:sz w:val="21"/>
                <w:szCs w:val="21"/>
                <w:u w:val="none"/>
                <w:lang w:val="en-US" w:eastAsia="zh-CN" w:bidi="ar"/>
              </w:rPr>
              <w:t>时间</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eastAsiaTheme="minorEastAsia" w:cstheme="minorEastAsia"/>
                <w:b w:val="0"/>
                <w:bCs/>
                <w:i w:val="0"/>
                <w:color w:val="auto"/>
                <w:kern w:val="0"/>
                <w:sz w:val="21"/>
                <w:szCs w:val="21"/>
                <w:u w:val="none"/>
                <w:lang w:val="en-US" w:eastAsia="zh-CN"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召开2019中国洗协理事长办公会议</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lang w:val="en-US"/>
              </w:rPr>
            </w:pPr>
            <w:r>
              <w:rPr>
                <w:rFonts w:hint="eastAsia" w:asciiTheme="minorEastAsia" w:hAnsiTheme="minorEastAsia" w:cstheme="minorEastAsia"/>
                <w:b w:val="0"/>
                <w:bCs/>
                <w:i w:val="0"/>
                <w:color w:val="auto"/>
                <w:kern w:val="0"/>
                <w:sz w:val="21"/>
                <w:szCs w:val="21"/>
                <w:u w:val="none"/>
                <w:lang w:val="en-US" w:eastAsia="zh-CN" w:bidi="ar"/>
              </w:rPr>
              <w:t>2019年4月</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参加2019美国油脂化学家学会年会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2019年5月5~8日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美国圣路易斯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组织参加第11届世界表面活性剂大会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2019年6月3~5日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德国慕尼黑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召开第九届中马油脂化工研讨会暨第十二届中国油脂化工行业年会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cstheme="minorEastAsia"/>
                <w:b w:val="0"/>
                <w:bCs/>
                <w:i w:val="0"/>
                <w:color w:val="auto"/>
                <w:kern w:val="0"/>
                <w:sz w:val="21"/>
                <w:szCs w:val="21"/>
                <w:u w:val="none"/>
                <w:lang w:val="en-US" w:eastAsia="zh-CN" w:bidi="ar"/>
              </w:rPr>
              <w:t>2019年6月</w:t>
            </w:r>
            <w:r>
              <w:rPr>
                <w:rFonts w:hint="eastAsia" w:asciiTheme="minorEastAsia" w:hAnsiTheme="minorEastAsia" w:eastAsiaTheme="minorEastAsia" w:cstheme="minorEastAsia"/>
                <w:b w:val="0"/>
                <w:bCs/>
                <w:i w:val="0"/>
                <w:color w:val="auto"/>
                <w:kern w:val="0"/>
                <w:sz w:val="21"/>
                <w:szCs w:val="21"/>
                <w:u w:val="none"/>
                <w:lang w:val="en-US" w:eastAsia="zh-CN" w:bidi="ar"/>
              </w:rPr>
              <w:t xml:space="preserve"> </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召开中国洗协政策法规组、期刊编委会、统计中心、新闻工作组工作会议</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2019年8月</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组织参加2019亚洲大洋洲肥皂和洗涤剂协会会议</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2019年10月</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澳大利亚悉尼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召开中国洗协第八届一次理事会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2019年11月13~14日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召开第39届（2019）中国洗涤用品行业年会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2019年11月14~16日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召开2019（第12届）中国日化产品原料及设备包装展览会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2019年11月14~16日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召开2019中国工业与公共设施清洁行业年会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2019年11月15~17日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南京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8080"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2019年中国口腔协会部分会议活动安排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活  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时间</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召开第八次会员大会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2019年4月10~12日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广西桂林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8080"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CIBE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活  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时间</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中国（上海）国际美博会暨上海大虹桥美博会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2019年5月6~8日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上海虹桥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8080"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CBE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活  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时间</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第四十二届中国美容博览会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2019年5月20~22日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上海浦东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8080"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2019年中国日化研究院部分会议活动安排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活  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时间</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2019（第12届）中国日用化学工业论坛</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2019年7月15~17日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广州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8080"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2019年中国香化协会部分会议活动安排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活  动</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时间</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3" w:hRule="atLeast"/>
        </w:trPr>
        <w:tc>
          <w:tcPr>
            <w:tcW w:w="4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2019深圳国际美容美发化妆品博览会</w:t>
            </w:r>
          </w:p>
        </w:tc>
        <w:tc>
          <w:tcPr>
            <w:tcW w:w="22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2019年12月25~27日</w:t>
            </w:r>
          </w:p>
        </w:tc>
        <w:tc>
          <w:tcPr>
            <w:tcW w:w="1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0" w:lineRule="atLeast"/>
              <w:jc w:val="center"/>
              <w:textAlignment w:val="center"/>
              <w:rPr>
                <w:rFonts w:hint="eastAsia" w:asciiTheme="minorEastAsia" w:hAnsiTheme="minorEastAsia" w:eastAsiaTheme="minorEastAsia" w:cstheme="minorEastAsia"/>
                <w:b w:val="0"/>
                <w:bCs/>
                <w:i w:val="0"/>
                <w:color w:val="auto"/>
                <w:sz w:val="21"/>
                <w:szCs w:val="21"/>
                <w:u w:val="none"/>
              </w:rPr>
            </w:pPr>
            <w:r>
              <w:rPr>
                <w:rFonts w:hint="eastAsia" w:asciiTheme="minorEastAsia" w:hAnsiTheme="minorEastAsia" w:eastAsiaTheme="minorEastAsia" w:cstheme="minorEastAsia"/>
                <w:b w:val="0"/>
                <w:bCs/>
                <w:i w:val="0"/>
                <w:color w:val="auto"/>
                <w:kern w:val="0"/>
                <w:sz w:val="21"/>
                <w:szCs w:val="21"/>
                <w:u w:val="none"/>
                <w:lang w:val="en-US" w:eastAsia="zh-CN" w:bidi="ar"/>
              </w:rPr>
              <w:t>深圳</w:t>
            </w:r>
          </w:p>
        </w:tc>
      </w:tr>
    </w:tbl>
    <w:p>
      <w:pPr>
        <w:jc w:val="center"/>
        <w:rPr>
          <w:rFonts w:hint="eastAsia" w:ascii="黑体" w:hAnsi="黑体" w:eastAsia="黑体" w:cs="黑体"/>
          <w:sz w:val="36"/>
          <w:szCs w:val="36"/>
        </w:rPr>
      </w:pPr>
      <w:r>
        <w:rPr>
          <w:rFonts w:hint="eastAsia" w:ascii="黑体" w:hAnsi="黑体" w:eastAsia="黑体" w:cs="黑体"/>
          <w:sz w:val="36"/>
          <w:szCs w:val="36"/>
        </w:rPr>
        <w:t>江苏省市场监管局召开实施</w:t>
      </w:r>
    </w:p>
    <w:p>
      <w:pPr>
        <w:jc w:val="center"/>
        <w:rPr>
          <w:rFonts w:hint="eastAsia" w:ascii="黑体" w:hAnsi="黑体" w:eastAsia="黑体" w:cs="黑体"/>
          <w:sz w:val="36"/>
          <w:szCs w:val="36"/>
        </w:rPr>
      </w:pPr>
      <w:r>
        <w:rPr>
          <w:rFonts w:hint="eastAsia" w:ascii="黑体" w:hAnsi="黑体" w:eastAsia="黑体" w:cs="黑体"/>
          <w:sz w:val="36"/>
          <w:szCs w:val="36"/>
        </w:rPr>
        <w:t>“三定”工作动员部署会</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月18日上午，江苏省市场监管局召开实施“三定”工作动员部署会。党组书记、局长朱勤虎主持会议并讲话。省局领导、派驻纪检监察组全体人员、机关全体在职在编人员、各直属单位主要负责同志和分管纪检监察工作的同志共480人参加了会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朱勤虎通报了“三定”规定的起草过程和主要内容。编制工作历时3个多月，对照省级机构改革时间表，做到了时间提前、工作超前。主要职责设定突出“全”“清”“变”3个关键词，确保主要职责无遗漏、职责边界要清晰、职能转变有对应；内设机构设置坚持打通贯通融通、上下基本对口、体现江苏特色，实行“27+2”模式，内设机构27个，加机关党委和离退休干部处共29个处室；机关行政编制核定390名，其中厅级领导职数9名、正处长29名、副处长77名。</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朱勤虎介绍了实施“三定”的主要原则和程序。在编制配置和干部配备上，严格遵循党管干部，五湖四海、任人唯贤，德才兼备、以德为先，注重实绩、群众公认，民主、公开、竞争、择优，民主集中制和依法办事等原则；坚持事业为上、因事择人，人岗相适、结构优化，严格程序、规范操作三个总要求。选配干部严格按照10道程序执行：一是党组研究“三定”规定实施方案，二是召开实施“三定”工作动员部署会，三是民主测评和推荐，四是听取有关方面意见，五是拟定处室主要负责人初步人选，六是个别沟通和干部考察，七是征求派驻纪检监察组意见，八是讨论决定，九是任职前谈话，十是集体宪法宣誓。同时，朱勤虎就处室主要负责人的安排、处室“小三定”的考虑、干部的使用、一般干部的轮岗交流等问题作了说明。</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朱勤虎就高质量实施“三定”工作提出了五点要求：一是政治站位要“高”。从讲政治的高度充分认识市场监管改革和实施“三定”的重要性，准确把握机构改革的精神和要求，把实施“三定”作为检验树牢“四个意识”、增强“四个自信”、做到“两个维护”的“试金石”。全体党员干部牢记党员第一身份，进一步提高政治站位，强化政治担当，坚决维护党组权威，坚决服从组织安排。二是大局意识要“牢”。充分把握实施 “三定”、落实改革任务这一大局大势，正确看待个人进退留转，正确处理个人意愿和组织需要之间的关系，主动服从和服务于大局，自觉地把工作需要放在首位、把促进市场监管事业发展放在首位，胸怀坦荡地面对进退留转：“进”则奋发有为、勤勉工作；“退”则积极面对、心态平和；“留”则意志不衰、再接再厉；“转”则迎接挑战、再创佳绩。三是纪律规矩要“严”。把严明组织纪律和干部人事纪律贯穿“三定”实施全过程，在“三定”制定实施过程中，注重充分发扬民主；一旦党组研究决定，全体同志必须坚决服从。全体领导班子成员带头维护党组权威，带头遵守纪律，坚决破除“板块意识”，不搞亲疏有别，以自身的表率作用带动全体干部职工讲纪律、守规矩；全体同志严格执行纪律，做到不利于团结稳定的话不说，不利于改革发展的事不做。四是组织领导要“强”。“三定”在党组统一领导下组织实施。党组加强领导，及时研究实施过程中的各项重大问题，保证平稳有序落实到位；“三定”工作组按照实施方案精心组织实施，对实施过程中发现的问题及时向党组汇报并提出解决方案；派驻纪检监察组、党建工作组全程落实纪律监察、纪律监督，为“三定”实施提供坚强有力的纪律保证。在实施“三定”过程中，局领导、处长和支部书记切实担起做好思想政治工作的职责，及时了解干部职工思想动态，帮助解开思想疙瘩。各支部迅速开展以“正确对待个人进退留转”为主题的大讨论活动，端正态度、提高站位，自觉接受组织考验。五是推动工作要“实”。处理好实施“三定”与做好当前工作、启动全年工作的关系，统筹兼顾、科学安排，确保机构改革与职能工作两不误、两促进。“三定”实施期间抓好工作衔接，确保责任不缺位、工作不断档；“三定”实施到位之后，按照新的领导分工和处室职责，迅速进入工作状态，落实年度工作会议精神，抓紧谋划启动全年各项工作。以实施“三定”为新的起点，讲融合、抓融合、促融合，尽快从事合、人合走向心理合、感情合，以团结和谐的良好氛围保障工作顺利开展。</w:t>
      </w:r>
    </w:p>
    <w:p>
      <w:pPr>
        <w:keepNext w:val="0"/>
        <w:keepLines w:val="0"/>
        <w:pageBreakBefore w:val="0"/>
        <w:widowControl w:val="0"/>
        <w:kinsoku/>
        <w:wordWrap/>
        <w:overflowPunct/>
        <w:topLinePunct w:val="0"/>
        <w:autoSpaceDE/>
        <w:autoSpaceDN/>
        <w:bidi w:val="0"/>
        <w:adjustRightInd/>
        <w:snapToGrid/>
        <w:spacing w:line="440" w:lineRule="atLeast"/>
        <w:ind w:firstLine="4080" w:firstLineChars="17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来源：江苏省市场监督管理局</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全国人大代表：要正确对待</w:t>
      </w:r>
    </w:p>
    <w:p>
      <w:pPr>
        <w:jc w:val="center"/>
        <w:rPr>
          <w:rFonts w:hint="eastAsia" w:ascii="黑体" w:hAnsi="黑体" w:eastAsia="黑体" w:cs="黑体"/>
          <w:sz w:val="36"/>
          <w:szCs w:val="36"/>
        </w:rPr>
      </w:pPr>
      <w:r>
        <w:rPr>
          <w:rFonts w:hint="eastAsia" w:ascii="黑体" w:hAnsi="黑体" w:eastAsia="黑体" w:cs="黑体"/>
          <w:sz w:val="36"/>
          <w:szCs w:val="36"/>
        </w:rPr>
        <w:t>理性思考精细化工产业发展</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全国两会期间，澎湃新闻从十三届全国人大二次会议新闻中心获悉，来自江苏代表团的全国人大代表、江苏亨通集团有限公司董事局主席崔根良向大会提交了题为《推动高科技精细化工产业的持续发展》的建议（以下简称《建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建议》介绍说，精细化工是高附加值的高科技产业，是世界化工发展的战略重点之一，也是化工行业竞争的焦点。精细化工产业技术专一性强、技术密集度高、附加值高，是21世纪的高新技术产业，也是化工行业最具活力的领域。生物技术、信息技术、新材料、新能源技术、环保等高新技术产业都跟精细化工有关。如芯片光刻胶、集成电器高纯试剂、生物医药、碳纤维、石墨稀、隐形材料、特种涂料、感光材料、磁性材料等等。美国的阿波罗宇宙飞船着陆用发动机的燃烧室就是采用这些复合材料制造的。大型波音型客机所用的蜂窝结构以及玻璃钢和金属蒙面结构也都离不开胶黏剂等等。</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然而，崔根良指出，但精细化工同整个化工行业一样，也面临着三废排放与整治的行业共性问题。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精细化工绝大多数是中小化工企业，产值小、利税少，地方政府往往不重视，而这些中小化工企业都会涉及污染排放，部分政府官员把这类企业视为经济发展的‘负能量’，对这些企业‘有病没病都给吃药’，采取限产限排、‘一刀切’关停，甚至把关停化工企业数量当政绩目标来追求，而不是指导这些企业如何整改，推动其排放达标，造成成千上万中小化工企业停产、限产、关停、查封，使我国高科技精细化工产业面临崩盘危险，如大化工企业一旦精细化工产品供应短缺，不但危及我国十几万亿大石化产业停产，严重到危及中国经济的安全，更影响我国战略性新兴产业的发展、影响到国计民生的稳定和国家战略安全。”崔根良代表在上述《建议》中分析说，“殊不知，当前中国很多领域高端精细化学品还依赖于进口，中国每年需从海外进口近50亿美元的精细化学品，由于近两年全国关闭了数千家精细化工企业，导致国内外多种精细化学品、化工原料价格的数倍上张（如苯酚已暴涨99倍）。如被称为‘精细化工皇冠上的明珠’的电子化学品，无论在航空航天、军事装备，还是在计算机、太阳能电池上都会用到，国内高端电子化学品自给率还不到30%，70%以上只能从德国、日本进口。”</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崔根良看来，“精细化工在国计民生、经济发展领域发挥着不可或缺、难以替代的作用。我们要正确认识、正确对待精细化工，理性面对问题、理性思考这个产业的发展，而不是一味靠关停、禁止精细化工产业发展。如一些地方一方面高举高科技产业发展大旗，另一方面又在关停打压作为高科技产业的精细化工，暴露了一些官员对真正高科技产业知之甚少，用简单、粗暴的冷漠执法来解决高科技精细化工企业污染问题，可以说是一种短视行为。高科技精细化工产业何去何从，已引起社会各界和化工产业界的高度关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为推动高科技精细化工产业的科学管理和持续发展，崔根良代表在上述《建议》中提出如下建议：</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是国家要重视高科技精细化工产业的发展，加大支持力度。精细化工是现代高科技领域的重要组成部分，是当今世界化学工业发展的战略重点，全球精细化工行业市场化程度高、竞争非常激烈。虽然国家“863”计划、国家“火炬”计划等项目对精细化工行业给予了支持，也在一定程度上促进了我国精细化工行业的发展。但与欧美发达国家相比，我国精细化工行业目前整体技术水平仍然偏低，精细化工行业的核心技术与国际先进水平还存在很大差距，高性能、功能化和高附加值精细化学品严重依赖进口，不仅制约了精细化工及整个化工行业的可持续发展，大大制约电子信息、航空航天、生物医药、新材料、新能源等国家战略性新兴产业的崛起与发展，也影响我国在高科技领域的国际竞争力。建议从国家战略的高度，进一步强化对精细化工行业的产业规划，加大对精细化工产业的战略性支持，推动精细化工产业从技术研发、设备升级、环保扶持等方面走上高质量可持续发展之路。</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是树立整改与发展并重的理念，纠正以关停为目标的简单做法。环保治理是个系统性工程、长远之计，是中国发展中的问题，必须通过发展来解决，决非一朝一夕之事。环境整治不能搞一刀切，要给相关企业留出必要的政策适应调整期，既要治表更要治本，要系统化、循序渐进推进，确保环境监管与经济发展的协调统一。过去几十年间，我国一向重发展轻治理，环境问题已耽搁几十年，不少以牺牲环境为代价追求经济发展，留下的后遗症积重难返，期望短时期解决不太现实。环境整治既要满足民生需要也要兼顾持续发展，必须统筹好停业失业与发展就业，与行业产业生态建设的关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是分类施策，明确排放标准，实施限期整改。精细化工产品种类数量众多（全世界有10万多种，我国现有3万多种），中小化工企业对各类精细化学品环保整改要求及排放标准等规范细节不了解，一出问题就要让他们关停，整改的机会都没有。事实上他们愿意配合政府环保部门去整改，他们内心也想整改，但缺乏环保部门的引导指导，对如何整改能达标更是知之甚少。环保部门应对各类中小化工企业进一步明确排放标准，分类管理、分类指导，对有污染的首先让他们限期整改，帮助他们通过整改实现排放达标，整改方可生产，整改不合格的不予生产，严重违法的依法关停。建议：特别在化工产业园内的化工企业以整改为主，化工园外企业，以搬迁调整为主，低端粗放、没有资金技术力量整改的企业，只能强制关闭。</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是加强对环保治理的规范指导。环保治理涉及面广，专业性强，针对环保治理过程缺少必要的咨询与指导，迫切需要建立相关的专业咨询指导机构，帮助中小化工企业进行综合业务培训，制定环保整治的整体指导方案，及时解答各类中小企业提出的各类环保问题，通过社会专业机构的广泛参与，推动中国环保治理体系的变革与发展，整体提升行业的排放合格率，最终达到环保要求，实现高科技精细化化工产业的可持续发展。</w:t>
      </w:r>
    </w:p>
    <w:p>
      <w:pPr>
        <w:keepNext w:val="0"/>
        <w:keepLines w:val="0"/>
        <w:pageBreakBefore w:val="0"/>
        <w:widowControl w:val="0"/>
        <w:kinsoku/>
        <w:wordWrap/>
        <w:overflowPunct/>
        <w:topLinePunct w:val="0"/>
        <w:autoSpaceDE/>
        <w:autoSpaceDN/>
        <w:bidi w:val="0"/>
        <w:adjustRightInd/>
        <w:snapToGrid/>
        <w:spacing w:line="46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（来源：澎湃新闻</w:t>
      </w:r>
      <w:r>
        <w:rPr>
          <w:rFonts w:hint="eastAsia" w:asciiTheme="minorEastAsia" w:hAnsiTheme="minorEastAsia" w:cstheme="minorEastAsia"/>
          <w:sz w:val="24"/>
          <w:szCs w:val="24"/>
          <w:lang w:eastAsia="zh-CN"/>
        </w:rPr>
        <w:t>）</w:t>
      </w:r>
    </w:p>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《产品质量法》在化妆品执法中的法律适用</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当前，市场监督管理部门在处理化妆品质量安全违法行为时，适用的法规主要有《化妆品卫生监督条例》（以下简称《条例》）《国务院关于加强食品等产品安全监督管理的特别规定》（以下简称《规定》）和《产品质量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那么，在化妆品监督管理条例尚未正式施行之前，如何选择现有的法律法规依据开展化妆品领域的稽查办案呢？</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化妆品执法的法规选择</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随着化妆品行业技术日新月异的发展，现行的化妆品法规已难以满足国家的宏观发展和行业发展的需要，给监管带来诸多挑战。</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《条例》颁布的时间较早，相对于当前的化妆品行业的发展情形，内容稍显滞后，许多条款已与实际状况不符。在应对一些化妆品违法违规行为时，无法给予相应的行政处罚，给监管部门稽查办案带来一定困难。</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定》是目前查处产品违法行为比较直接有效的行政法规，在化妆品监管实践中可以适当运用，但其处罚裁量基准过高，针对化妆品领域违法行为的行政处罚难度较大；并且和《行政处罚法》中处罚与教育相结合的原则有冲突，不容易产生行政执法的社会效应，所以也给稽查办案带来一定局限。</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质量法》明确规定，在我国境内从事产品生产、销售活动必须遵守该法。虽然《产品质量法》未设置罚款数额最低限，未完善以“货值金额”为处罚基数确定罚款数额的成倍递进模式，存在违法利润高于违法成本的弊端，但其对处罚条款的表述，一定程度上规避了因法规滞后和处罚裁量基准过高而导致的执法困难。如《产品质量法》第四十九条规定：“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么针对化妆品安全违法行为，市场监督管理部门是否可以依据《产品质量法》开展化妆品稽查工作？笔者认为，市场监督管理部门在严格贯彻执行《条例》和《规定》处理化妆品违法行为时，如果对处罚条款存在争议，可以充分运用《产品质量法》的相关规定。</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化妆品执法的适用条款</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先，《产品质量法》第二条规定：“本法所称产品是指经过加工、制作，用于销售的产品。”《条例》第二条规定：“本条例所称的化妆品，是指以涂擦、喷洒或者其他类似的方法，散布于人体表面任何部位（皮肤、毛发、指甲、口唇等），以达到清洁、消除不良气味、护肤、美容和修饰目的的日用化学工业产品。”依据上述定义，化妆品应当属于《产品质量法》所规定的产品范畴。按照法律高于行政法规的原则，《条例》中对化妆品的安全规定不会超过《产品质量法》中对产品安全的一般性规定，即《产品质量法》囊括或涵盖了《条例》中对化妆品的特别规定。所以，这是可以依据《产品质量法》开展化妆品稽查工作的原因之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次，《产品质量法》第十三条第二款规定：“禁止生产、销售不符合保障人体健康和人身、财产安全标准和要求的工业产品。具体管理办法由国务院规定。”化妆品是关系到人体健康的日用化学工业产品，与公众生活联系紧密，而《条例》作为国务院发布的行政法规，对于不符合保障人体健康标准和要求的化妆品进行了明确具体的规定。《条例》第十条规定：“生产特殊用途的化妆品，必须经国务院卫生行政部门批准，取得批准文号后方可生产。”第十二条第二款：“化妆品标签、小包装或者说明书上不得注有适应证，不得宣传疗效，不得使用医疗术语。”因此，《产品质量法》第十三条第二款中“具体管理办法由国务院规定”的法律条款表述，实际上就是法律涵盖适用范围最大化的兜底条款。</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产品质量法》是行政法规《条例》的上位法之一，在化妆品监管执法中，应优先适用《条例》，当《条例》没有相应规定时，可以适用《产品质量法》。《产品质量法》对产品质量安全的法定条款要求，是对一般产品质量安全的基本要求，属于原则规定；而《条例》是对化妆品作为特殊产品质量安全的特别要求。化妆品质量安全必须符合《条例》规定的特殊质量要求，也要符合《产品质量法》对一般产品质量的基本和原则要求。</w:t>
      </w:r>
    </w:p>
    <w:p>
      <w:pPr>
        <w:keepNext w:val="0"/>
        <w:keepLines w:val="0"/>
        <w:pageBreakBefore w:val="0"/>
        <w:widowControl w:val="0"/>
        <w:kinsoku/>
        <w:wordWrap/>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化妆品执法的兜底利器</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质量法》第八条规定：“国务院市场监督管理部门主管全国市场监督管理工作。国务院有关部门在各自的职责范围内负责产品质量监督工作。县级以上地方市场监督管理部门主管本行政区域内的产品质量监督工作。县级以上地方人民政府有关部门在各自的职责范围内负责市场监督管理工作。”但其第三款也明确指出：“法律对市场监督管理部门另有规定的，依照有关法律的规定执行。”</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笔者认为，《产品质量法》第十三条第二款的规定已授权国务院制定涉及人体健康和人身财产安全的产品具体管理办法。</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处罚法》第十六条规定：“国务院或者经国务院授权的省、自治区、直辖市人民政府可以决定一个行政机关行使有关行政机关的行政处罚权，但限制人身自由的行政处罚权只能有公安机关行使。”行政处罚是依法实施质量监督、打击和制裁制售假冒伪劣产品违法行为以及违法者的重要举措。</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质量法》第七十条规定：“本法第四十九条至第五十七条、第六十条至第六十三条规定的行政处罚由市场监督管理部门决定。法律、行政法规对行使行政处罚权的机关另有规定的，依照有关法律、行政法规的规定执行。”“法律、行政法规对行使行政处罚权的机关另有规定”的法律条款表述，实际上也是法律涵盖适用范围最大化的兜底条款，故化妆品的生产经营者存在违法生产经营行为、违反《产品质量法》规定和危害化妆品质量安全行为的，应由市场监督管理部门依据《产品质量法》的相关条款，行使化妆品产品质量监督、对违法行为实施行政处罚的权力。</w:t>
      </w:r>
    </w:p>
    <w:p>
      <w:pPr>
        <w:keepNext w:val="0"/>
        <w:keepLines w:val="0"/>
        <w:pageBreakBefore w:val="0"/>
        <w:widowControl w:val="0"/>
        <w:kinsoku/>
        <w:wordWrap/>
        <w:overflowPunct/>
        <w:topLinePunct w:val="0"/>
        <w:autoSpaceDE/>
        <w:autoSpaceDN/>
        <w:bidi w:val="0"/>
        <w:adjustRightInd/>
        <w:snapToGrid/>
        <w:spacing w:line="460" w:lineRule="atLeast"/>
        <w:ind w:firstLine="4560" w:firstLineChars="1900"/>
        <w:textAlignment w:val="auto"/>
        <w:rPr>
          <w:rFonts w:hint="eastAsia"/>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中国医药报</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国家标准委印发《2019年全国标准化工作要点》</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国家标准化管理委员会印发了《2019年全国标准化工作要点》提出，2019年全国标准化工作主要包括深化标准化工作改革，建设更加科学合理的标准体系；全面提升标准水平，建设更加先进适用的标准体系；着力强化标准实施与监督，建设更高效能的标准体系；大力推进国际标准化工作，建设更加开放兼容的标准体系；提升标准化基础能力水平，建设更加保障有力的标准体系等五大方面。</w:t>
      </w:r>
    </w:p>
    <w:p>
      <w:pPr>
        <w:keepNext w:val="0"/>
        <w:keepLines w:val="0"/>
        <w:pageBreakBefore w:val="0"/>
        <w:widowControl w:val="0"/>
        <w:kinsoku/>
        <w:wordWrap/>
        <w:overflowPunct/>
        <w:topLinePunct w:val="0"/>
        <w:autoSpaceDE/>
        <w:autoSpaceDN/>
        <w:bidi w:val="0"/>
        <w:adjustRightInd/>
        <w:snapToGrid/>
        <w:spacing w:line="46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中国标</w:t>
      </w:r>
      <w:r>
        <w:rPr>
          <w:rFonts w:hint="eastAsia" w:asciiTheme="minorEastAsia" w:hAnsiTheme="minorEastAsia" w:cstheme="minorEastAsia"/>
          <w:sz w:val="24"/>
          <w:szCs w:val="24"/>
          <w:lang w:val="en-US" w:eastAsia="zh-CN"/>
        </w:rPr>
        <w:t>委会</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80" w:firstLineChars="200"/>
        <w:textAlignment w:val="auto"/>
        <w:rPr>
          <w:rFonts w:hint="eastAsia" w:asciiTheme="minorEastAsia" w:hAnsiTheme="minorEastAsia" w:eastAsiaTheme="minorEastAsia" w:cstheme="minorEastAsia"/>
          <w:color w:val="auto"/>
          <w:sz w:val="24"/>
          <w:szCs w:val="24"/>
          <w:u w:val="none"/>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eastAsiaTheme="minorEastAsia" w:cstheme="minorEastAsia"/>
          <w:color w:val="auto"/>
          <w:sz w:val="24"/>
          <w:szCs w:val="24"/>
          <w:u w:val="none"/>
          <w:lang w:val="en-US" w:eastAsia="zh-CN"/>
        </w:rPr>
        <w:t>http://www.szdca.org/policyShow.Asp?ID=219</w:t>
      </w:r>
    </w:p>
    <w:p>
      <w:pPr>
        <w:jc w:val="center"/>
        <w:rPr>
          <w:rFonts w:hint="eastAsia" w:ascii="黑体" w:hAnsi="黑体" w:eastAsia="黑体" w:cs="黑体"/>
          <w:sz w:val="36"/>
          <w:szCs w:val="36"/>
        </w:rPr>
      </w:pPr>
      <w:r>
        <w:rPr>
          <w:rFonts w:hint="eastAsia" w:ascii="黑体" w:hAnsi="黑体" w:eastAsia="黑体" w:cs="黑体"/>
          <w:sz w:val="36"/>
          <w:szCs w:val="36"/>
        </w:rPr>
        <w:t xml:space="preserve">李克强主持召开国务院常务会议 </w:t>
      </w:r>
    </w:p>
    <w:p>
      <w:pPr>
        <w:jc w:val="center"/>
        <w:rPr>
          <w:rFonts w:hint="eastAsia" w:ascii="黑体" w:hAnsi="黑体" w:eastAsia="黑体" w:cs="黑体"/>
          <w:sz w:val="36"/>
          <w:szCs w:val="36"/>
        </w:rPr>
      </w:pPr>
      <w:r>
        <w:rPr>
          <w:rFonts w:hint="eastAsia" w:ascii="黑体" w:hAnsi="黑体" w:eastAsia="黑体" w:cs="黑体"/>
          <w:sz w:val="36"/>
          <w:szCs w:val="36"/>
        </w:rPr>
        <w:t>要求制定涉企法规规章和规范性文件</w:t>
      </w:r>
    </w:p>
    <w:p>
      <w:pPr>
        <w:jc w:val="center"/>
        <w:rPr>
          <w:rFonts w:hint="eastAsia" w:ascii="黑体" w:hAnsi="黑体" w:eastAsia="黑体" w:cs="黑体"/>
          <w:sz w:val="36"/>
          <w:szCs w:val="36"/>
        </w:rPr>
      </w:pPr>
      <w:r>
        <w:rPr>
          <w:rFonts w:hint="eastAsia" w:ascii="黑体" w:hAnsi="黑体" w:eastAsia="黑体" w:cs="黑体"/>
          <w:sz w:val="36"/>
          <w:szCs w:val="36"/>
        </w:rPr>
        <w:t>必须听取相关企业和行业协会商会意见等</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总理李克强2月20日主持召开国务院常务会议，要求制定涉企法规规章和规范性文件必须听取相关企业和行业协会商会意见，使政府决策更符合实际和民意；决定再取消和下放一批行政许可事项、在全国全面开展工程建设项目审批制度改革；部署推动家政服务增加供给、提高质量的措施，促进扩内需、惠民生。</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会议指出，各地区、各部门制定实施与企业生产经营密切相关的行政法规、规章、行政规范性文件，要把听取企业和行业协会商会意见贯穿全程，这是推进科学民主决策、建设法治政府的重要举措。</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制定前，要主动及时了解企业所急所需所盼，努力使拟制定的法规政策更有针对性。在制定过程中，除依法需要保密的外，要通过各种方式向社会公开征求意见或听取有代表性企业的意见，意见采纳情况要及时公布或反馈。</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实施过程中，要根据实际设置缓冲期，为企业执行留有必要的准备时间。通过提高法规政策制定和实施的公开透明度，防止暗箱操作，更有利于公正有效实施。要加强对法规政策实施的后评估工作，该调整的适时调整，不断提高政府决策质量和水平。</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党中央、国务院推进政府职能转变、优化营商环境部署，立足更多向市场放权、强化企业主体责任和政府监管责任，会议决定，一是聚焦更大激发市场活力，再取消企业名称预先核准、一些产品注册初审等25项行政许可事项，将一些职业的执业注册等6项许可权限下放至省级或以下政府部门。既简化程序、降低企业交易成本，也有利于把政府监管更多聚焦安全等重要方面。二是在试点基础上向全国推开工程建设项目审批制度改革。按照统一规范的要求，对每个审批阶段实行一个部门牵头、并联审批、限时办结，推行告知承诺、区域评估和联合审图、联合验收等制度，实现“一张蓝图”统筹项目实施、“一个窗口”提供综合服务、“一张表单”整合申报材料、“一套机制”规范审批运行。上半年在全国做到将工程建设项目审批时间压缩一半，减至120个工作日以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会议指出，促进家政服务扩容提质，事关千家万户福祉，是适应老龄化快速发展和全面二孩政策实施需求的重要举措，有利于扩消费、增就业。一要促进家政服务企业进社区，鼓励连锁发展，提供就近便捷的家政服务。大力发展家政电商、互联网中介等家政服务新业态。二要加强家政服务技能培训，推动质量提升。在有条件的高校、职业院校开设家政服务相关专业，支持符合条件的家政服务龙头企业创办家政服务类职业院校。三要推进家政服务标准化，推广示范合同。建立诚信体系，实施规范监管。四要加大政策扶持。按规定对小微家政服务企业给予税费减免。鼓励地方以政府购买服务方式，为化解行业过剩产能企业转岗人员、建档立卡贫困劳动力免费提供家政服务培训。支持员工制家政服务企业配建职工集体宿舍。</w:t>
      </w:r>
    </w:p>
    <w:p>
      <w:pPr>
        <w:keepNext w:val="0"/>
        <w:keepLines w:val="0"/>
        <w:pageBreakBefore w:val="0"/>
        <w:widowControl w:val="0"/>
        <w:kinsoku/>
        <w:wordWrap/>
        <w:overflowPunct/>
        <w:topLinePunct w:val="0"/>
        <w:autoSpaceDE/>
        <w:autoSpaceDN/>
        <w:bidi w:val="0"/>
        <w:adjustRightInd/>
        <w:snapToGrid/>
        <w:spacing w:line="460" w:lineRule="atLeast"/>
        <w:ind w:firstLine="4800" w:firstLineChars="20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来源：中国政府网</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国务院关于取消和下放一批行政许可事项的决定</w:t>
      </w:r>
    </w:p>
    <w:p>
      <w:pPr>
        <w:jc w:val="center"/>
        <w:rPr>
          <w:rFonts w:hint="eastAsia" w:ascii="黑体" w:hAnsi="黑体" w:eastAsia="黑体" w:cs="黑体"/>
          <w:sz w:val="28"/>
          <w:szCs w:val="28"/>
        </w:rPr>
      </w:pPr>
      <w:r>
        <w:rPr>
          <w:rFonts w:hint="eastAsia" w:ascii="黑体" w:hAnsi="黑体" w:eastAsia="黑体" w:cs="黑体"/>
          <w:sz w:val="28"/>
          <w:szCs w:val="28"/>
        </w:rPr>
        <w:t>国发〔2019〕6号</w:t>
      </w:r>
    </w:p>
    <w:p>
      <w:pPr>
        <w:keepNext w:val="0"/>
        <w:keepLines w:val="0"/>
        <w:pageBreakBefore w:val="0"/>
        <w:widowControl w:val="0"/>
        <w:kinsoku/>
        <w:wordWrap/>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研究论证，国务院决定取消25项行政许可事项，下放6项行政许可事项的管理层级，现予公布。另有5项依据有关法律设定的行政许可事项，国务院将依照法定程序提请全国人民代表大会常务委员会修订相关法律规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各地区、各有关部门要抓紧做好取消和下放行政许可事项的落实和衔接工作，制定完善事中事后监管措施，采取“双随机、一公开”监管、重点监管、信用监管、“互联网+监管”等方式，确保放得开、接得住、管得好。自本决定发布之日起20个工作日内，各有关部门要按规定向社会公布事中事后监管细则，并加强宣传解读和督促落实。</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附件：1.国务院决定取消的行政许可事项目录（共25项）</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2.国务院决定下放管理层级的行政许可事项目录（共6项）</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略</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国务院</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2019年2月27日</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查询网址：http://www.gov.cn</w:t>
      </w:r>
    </w:p>
    <w:p>
      <w:pPr>
        <w:jc w:val="center"/>
        <w:rPr>
          <w:rFonts w:hint="eastAsia" w:ascii="黑体" w:hAnsi="黑体" w:eastAsia="黑体" w:cs="黑体"/>
          <w:sz w:val="36"/>
          <w:szCs w:val="36"/>
        </w:rPr>
      </w:pPr>
      <w:r>
        <w:rPr>
          <w:rFonts w:hint="eastAsia" w:ascii="黑体" w:hAnsi="黑体" w:eastAsia="黑体" w:cs="黑体"/>
          <w:sz w:val="36"/>
          <w:szCs w:val="36"/>
        </w:rPr>
        <w:t>2019年国家化妆品监督抽检检测要求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国家化妆品监督抽检将针对婴幼儿护肤类、染发类（氧化型染发产品）、宣称祛痘/抗粉刺类、防晒类、面膜类、爽身粉类、国产非特一般护肤类、烫发/脱毛类、祛斑/美白类、牙膏等10类产品。监督抽检检测要求如下：</w:t>
      </w:r>
    </w:p>
    <w:tbl>
      <w:tblPr>
        <w:tblStyle w:val="6"/>
        <w:tblW w:w="8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482"/>
        <w:gridCol w:w="1027"/>
        <w:gridCol w:w="917"/>
        <w:gridCol w:w="3419"/>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3" w:hRule="atLeast"/>
          <w:jc w:val="center"/>
        </w:trPr>
        <w:tc>
          <w:tcPr>
            <w:tcW w:w="482"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序号</w:t>
            </w:r>
          </w:p>
        </w:tc>
        <w:tc>
          <w:tcPr>
            <w:tcW w:w="102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产品</w:t>
            </w:r>
            <w:r>
              <w:rPr>
                <w:rFonts w:hint="eastAsia" w:asciiTheme="minorEastAsia" w:hAnsi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lang w:val="en-US" w:eastAsia="zh-CN"/>
              </w:rPr>
              <w:t>类别</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检验</w:t>
            </w:r>
            <w:r>
              <w:rPr>
                <w:rFonts w:hint="eastAsia" w:asciiTheme="minorEastAsia" w:hAnsiTheme="minorEastAsia" w:cstheme="minorEastAsia"/>
                <w:color w:val="000000"/>
                <w:sz w:val="18"/>
                <w:szCs w:val="18"/>
                <w:lang w:val="en-US" w:eastAsia="zh-CN"/>
              </w:rPr>
              <w:t xml:space="preserve">  </w:t>
            </w:r>
            <w:r>
              <w:rPr>
                <w:rFonts w:hint="eastAsia" w:asciiTheme="minorEastAsia" w:hAnsiTheme="minorEastAsia" w:eastAsiaTheme="minorEastAsia" w:cstheme="minorEastAsia"/>
                <w:color w:val="000000"/>
                <w:sz w:val="18"/>
                <w:szCs w:val="18"/>
                <w:lang w:val="en-US" w:eastAsia="zh-CN"/>
              </w:rPr>
              <w:t>项目</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检测依据</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1</w:t>
            </w:r>
          </w:p>
        </w:tc>
        <w:tc>
          <w:tcPr>
            <w:tcW w:w="1027"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婴幼儿护肤类产品</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微生物</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糖皮质激素</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化妆品中四十一种糖皮质激素的测定液相色谱/串联质谱法和薄层层析法（GB/T 24800.2-2009）</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盐酸美满霉素等7种组分</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《化妆品安全技术规范》（2015年版）第四章2.2盐酸美满霉素等7种组分</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spacing w:line="20" w:lineRule="atLeas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氟康唑等9种组分</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《化妆品安全技术规范》（2015年版）第四章2.1氟康唑等9种组分</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依诺沙星等10种组分</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《化妆品安全技术规范》（2015年版）第四章2.3依诺沙星等10种组分</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2</w:t>
            </w:r>
          </w:p>
        </w:tc>
        <w:tc>
          <w:tcPr>
            <w:tcW w:w="102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染发类产品（氧化型染发产品）</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染发剂</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《化妆品安全技术规范》（2015年版）第四章7.2  对苯二胺等32种组分</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3</w:t>
            </w:r>
          </w:p>
        </w:tc>
        <w:tc>
          <w:tcPr>
            <w:tcW w:w="1027"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宣称祛痘/抗粉刺产品</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盐酸美满霉素等7种组分</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《化妆品安全技术规范》（2015年版）第四章2.2盐酸美满霉素等7种组分</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氟康唑等9种组分</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《化妆品安全技术规范》（2015年版）第四章2.1氟康唑等9种组分</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依诺沙星等10种组分</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《化妆品安全技术规范》（2015年版）第四章2.3依诺沙星等10种组分</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维甲酸和异维甲酸</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  2.28维甲酸和异维甲酸</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4</w:t>
            </w:r>
          </w:p>
        </w:tc>
        <w:tc>
          <w:tcPr>
            <w:tcW w:w="102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防晒类产品</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防晒剂</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《化妆品安全技术规范》（2015年版）第四章5  防晒剂检验方法</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3" w:hRule="atLeast"/>
          <w:jc w:val="center"/>
        </w:trPr>
        <w:tc>
          <w:tcPr>
            <w:tcW w:w="482"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5</w:t>
            </w:r>
          </w:p>
        </w:tc>
        <w:tc>
          <w:tcPr>
            <w:tcW w:w="1027"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面膜类产品</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汞（宣称祛斑/美白类产品）</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《化妆品安全技术规范》（2015年版）第四章1.2  汞；1.6 锂等37种元素</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糖皮质激素</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化妆品中四十一种糖皮质激素的测定液相色谱/串联质谱法和薄层层析法（GB/T 24800.2-2009）</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氟轻松</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面膜类化妆品中氟轻松检测方法（高效液相色谱-串联质谱法）（总局2016年第88号通告）</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微生物</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6</w:t>
            </w:r>
          </w:p>
        </w:tc>
        <w:tc>
          <w:tcPr>
            <w:tcW w:w="1027"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爽身粉类产品</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硼酸和硼酸盐</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  3.7硼酸和硼酸盐</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铅</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《化妆品安全技术规范》（2015年版）第四章1.3</w:t>
            </w:r>
          </w:p>
        </w:tc>
        <w:tc>
          <w:tcPr>
            <w:tcW w:w="2505"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铅；1.6 锂等37种元素</w:t>
            </w:r>
          </w:p>
        </w:tc>
        <w:tc>
          <w:tcPr>
            <w:tcW w:w="2505"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8" w:hRule="atLeast"/>
          <w:jc w:val="center"/>
        </w:trPr>
        <w:tc>
          <w:tcPr>
            <w:tcW w:w="482"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7</w:t>
            </w:r>
          </w:p>
        </w:tc>
        <w:tc>
          <w:tcPr>
            <w:tcW w:w="1027"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国产非特一般护肤产品</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微生物</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《化妆品安全技术规范》（2015年版）第五章微生物检验方法</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6"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防腐剂</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《化妆品安全技术规范》（2015年版）第四章4  防腐剂检验方法</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6" w:hRule="atLeast"/>
          <w:jc w:val="center"/>
        </w:trPr>
        <w:tc>
          <w:tcPr>
            <w:tcW w:w="482"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8</w:t>
            </w:r>
          </w:p>
        </w:tc>
        <w:tc>
          <w:tcPr>
            <w:tcW w:w="1027"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烫发/脱毛类产品（物理脱毛类产品除外）</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巯基乙酸</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《化妆品安全技术规范》（2015年版）第四章3.9  巯基乙酸</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烫发类：GB/T29678-2013 烫发剂</w:t>
            </w:r>
            <w:r>
              <w:rPr>
                <w:rFonts w:hint="eastAsia" w:asciiTheme="minorEastAsia" w:hAnsiTheme="minorEastAsia" w:cstheme="minorEastAsia"/>
                <w:color w:val="000000"/>
                <w:sz w:val="18"/>
                <w:szCs w:val="18"/>
                <w:lang w:val="en-US" w:eastAsia="zh-CN"/>
              </w:rPr>
              <w:t>；</w:t>
            </w:r>
            <w:r>
              <w:rPr>
                <w:rFonts w:hint="eastAsia" w:asciiTheme="minorEastAsia" w:hAnsiTheme="minorEastAsia" w:eastAsiaTheme="minorEastAsia" w:cstheme="minorEastAsia"/>
                <w:color w:val="000000"/>
                <w:sz w:val="18"/>
                <w:szCs w:val="18"/>
                <w:lang w:val="en-US" w:eastAsia="zh-CN"/>
              </w:rPr>
              <w:t>脱毛类：《化妆品安全技术规范》（2015年版）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5"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pH</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《化妆品安全技术规范》（2015年版）第四章1.1  pH值</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482"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9</w:t>
            </w:r>
          </w:p>
        </w:tc>
        <w:tc>
          <w:tcPr>
            <w:tcW w:w="1027"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祛斑/美白类产品（非面膜类产品）</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汞</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《化妆品安全技术规范》（2015年版）第四章1.2  汞；1.6 锂等37种元素</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3"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糖皮质激素</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化妆品中四十一种糖皮质激素的测定液相色谱/串联质谱法和薄层层析法（GB/T 24800.2-2009）</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《化妆品安全技术规范》（2015年版）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168" w:hRule="atLeast"/>
          <w:jc w:val="center"/>
        </w:trPr>
        <w:tc>
          <w:tcPr>
            <w:tcW w:w="482"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10</w:t>
            </w:r>
          </w:p>
        </w:tc>
        <w:tc>
          <w:tcPr>
            <w:tcW w:w="1027" w:type="dxa"/>
            <w:vMerge w:val="restart"/>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牙膏</w:t>
            </w: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铅、砷</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GB/T 8372-2017 牙膏</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GB/T 8372-2017 牙膏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61" w:hRule="atLeast"/>
          <w:jc w:val="center"/>
        </w:trPr>
        <w:tc>
          <w:tcPr>
            <w:tcW w:w="482"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1027" w:type="dxa"/>
            <w:vMerge w:val="continue"/>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p>
        </w:tc>
        <w:tc>
          <w:tcPr>
            <w:tcW w:w="917"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微生物</w:t>
            </w:r>
          </w:p>
        </w:tc>
        <w:tc>
          <w:tcPr>
            <w:tcW w:w="3419"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GB/T 8372-2017 牙膏</w:t>
            </w:r>
          </w:p>
        </w:tc>
        <w:tc>
          <w:tcPr>
            <w:tcW w:w="2505" w:type="dxa"/>
            <w:shd w:val="clear" w:color="auto" w:fill="FFFFFF"/>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GB/T 8372-2017 牙膏</w:t>
            </w:r>
          </w:p>
        </w:tc>
      </w:tr>
    </w:tbl>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 生产日期为2016年12月1日前的产品按《化妆品卫生规范》（2007年版）进行判定。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 染发剂检测结果应与按判定依据规定的限值核对，与产品标签标识及产品批件配方进行比对，并在报告书中予以标注。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 防晒剂检测结果应与按判定依据规定的限值核对，与产品标签标识及产品批件配方进行比对，并在报告书中予以标注。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 乙醇含量≥75%（w/w）者不需要测微生物项目。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 巯基乙酸检测结果应与按判定依据规定的限值核对，与产品标签标识及产品批件配方进行比对，并在报告书中予以标注。如果产品使用的是巯基乙酸盐类或酯类原料，采用第二法或第三法进行检验。</w:t>
      </w:r>
    </w:p>
    <w:p>
      <w:pPr>
        <w:keepNext w:val="0"/>
        <w:keepLines w:val="0"/>
        <w:pageBreakBefore w:val="0"/>
        <w:widowControl w:val="0"/>
        <w:kinsoku/>
        <w:wordWrap/>
        <w:overflowPunct/>
        <w:topLinePunct w:val="0"/>
        <w:autoSpaceDE/>
        <w:autoSpaceDN/>
        <w:bidi w:val="0"/>
        <w:adjustRightInd/>
        <w:snapToGrid/>
        <w:spacing w:line="44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来源：叶竹洪</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化妆品产品研发中常见问题解决方案</w:t>
      </w:r>
    </w:p>
    <w:p>
      <w:pPr>
        <w:keepNext w:val="0"/>
        <w:keepLines w:val="0"/>
        <w:pageBreakBefore w:val="0"/>
        <w:widowControl w:val="0"/>
        <w:kinsoku/>
        <w:wordWrap/>
        <w:overflowPunct/>
        <w:topLinePunct w:val="0"/>
        <w:autoSpaceDE/>
        <w:autoSpaceDN/>
        <w:bidi w:val="0"/>
        <w:adjustRightInd/>
        <w:snapToGrid/>
        <w:spacing w:before="157" w:beforeLines="50"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近年来，国家局和地方质监局多次组织化妆品监督抽查。其中，微生物指标不合格和质量指标不合格是常见质量安全问题。如何降低检验不合格概率，我们可以从解决化妆品研发阶段的一些常见问题做起。</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问：膏霜化妆品肤感没有达到预期怎么办？</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答：化妆品的肤感很重要，消费者在购买产品后，首先会观察其外观，其次就是肤感和质地。如果在使用时肤感无法达到内心预期，很难激起消费者的购买欲望。这时，作为配方设计人员就必须对化妆品的配方进行必要调整，以满足消费者的心理需求。</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调整化妆品配方的方法主要有：筛选肤感更佳的乳化剂组合，调节液体油脂、半固体油脂、固体油脂的搭配比例，让消费者在涂抹和吸收过程的肤感连续性更佳。另外，硅油在肤感调节上也起着至关重要的作用。</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问：膏霜化妆品稳定性出现问题怎么办？</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答：化妆品的稳定性是体现化妆品质量的重要因素之一。配方设计人员可以适当调整配方的增稠体系和乳化体系，在保证肤感的同时确保产品稳定性过关。</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有色水剂配方比较容易出现光照后褪色的现象，配方设计人员可以在产品中添加适当的水溶性紫外线吸收剂，有效防止紫外线对产品颜色的影响。</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问：如何做到化妆品安全性和功效性的平衡？</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答：安全性对化妆品非常重要，化妆品安全性的一个直接体现就是消费者在使用产品时的致敏率。在配方研发过程中，经常会出现安全性和功效性冲突的情况。如果产品的致敏率超出正常范围，无论产品的功效性有多好，也不会被消费者认可。</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这就需要配方设计人员考虑对配方原料进行优化，筛选出配方中可能产生刺激的原料，例如PEG基团、防腐剂、香精，尽量选择比较温和的乳化剂、功效原料，并适当添加可以舒缓刺激性的原料，在保证产品安全的前提下优化产品功效。</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问：化妆品原料成本超过预期怎么办？</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答：每个企业在产品策划之初都会对产品有一个明确的市场定位和定价，所以化妆品配方的研发与市场不能脱节。假设一款面霜是销往二三线城市，定价为50元/50克，根据包装、生产、灌装、利润等费用的核算，得出原料成本应控制在100元/千克，如若未达到该标准，配方设计人员就需要对此配方进行微调，降低该产品的成本，如选择性价比更高的功效原料、添加量的优化、同比筛选出价位较低的原料等。</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问：在研发设计防晒化妆品时，如何平衡防晒剂的用量与安全性？</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答：防晒已经成为当今化妆品行业发展的热门话题之一。目前市场上防晒化妆品的流行趋势为：高SPF值、广谱防晒和新近研发的具有SPF标志的唇膏、粉底等，其主要成分离不开防晒剂。防晒剂主要分为两类：化学防晒剂和物理防晒剂。其中，物理防晒剂主要是用反射和散射紫外线的方式，达到保护皮肤的作用；化学防晒剂则是通过吸收紫外线的能量，再以热能或无害的可见光效应释放出来。</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在研发防晒产品时，正确的做法是多种防晒剂复配，以达到协同增效的目的。虽然防晒剂添加得越多，SPF值整体呈上升趋势，但还需考虑肤感、成本等问题，而且防晒剂本身具有一定的刺激性。所以，在研发防晒化妆品时，还要考虑到产品的安全性，建议在配方中适当添加甘草酸二钾或红没药醇等抗炎剂。</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问：搅拌时间对最终产品有哪些影响？</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答：每个产品在灌装之前都要进行充分的搅拌，在乳化体系中，使油相与水相充分混合，或者使功效原料在体系中分散更加均匀。但在化妆品中，有些增稠剂的黏稠度随着搅拌时间的增长，其溶液的黏度会降低，进而影响产品的保质期和稳定性。</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增稠剂在体系中的稳定性主要表现在：有些增稠剂在体系中容易降解或与体系中其他化学原料发生反应，导致化妆品的黏度、颜色或者其他状态发生变化，从而直接影响化妆品的稳定性；有些天然的增稠剂则容易在微生物的作用下发生降解，进而影响产品的稳定性。</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问：搅拌速度对最终产品的影响有哪些？</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答：乳化速度适中可以使油相与水相充分混合。搅拌速度过低，达不到充分混合的目的；搅拌速度过高，容易将气泡带入体系，使之成为三相体系，进而造成乳化体不稳定，同时也会影响到乳化体的外观。</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问：乳化温度对产品有哪些影响？</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答：乳化温度对乳化体有很大的影响。一般情况下，乳化温度取决于油相和水相中所含高熔点物质的熔点温度；同时还要考虑乳化剂的种类及油相与水相的溶解度等因素。</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此外，油相与水相的温度需保持相同，尤其是对含有较高熔点的蜡、脂油成分进行乳化时，切勿将低温的水相加入，以防止在未乳化前将蜡、脂结晶析出，造成块状或粗糙不匀的乳化体。</w:t>
      </w:r>
    </w:p>
    <w:p>
      <w:pPr>
        <w:keepNext w:val="0"/>
        <w:keepLines w:val="0"/>
        <w:pageBreakBefore w:val="0"/>
        <w:widowControl w:val="0"/>
        <w:kinsoku/>
        <w:wordWrap/>
        <w:overflowPunct/>
        <w:topLinePunct w:val="0"/>
        <w:autoSpaceDE/>
        <w:autoSpaceDN/>
        <w:bidi w:val="0"/>
        <w:adjustRightInd/>
        <w:snapToGrid/>
        <w:spacing w:line="400" w:lineRule="atLeast"/>
        <w:ind w:firstLine="456" w:firstLineChars="200"/>
        <w:textAlignment w:val="auto"/>
        <w:rPr>
          <w:rFonts w:hint="eastAsia" w:asciiTheme="minorEastAsia" w:hAnsiTheme="minorEastAsia" w:cstheme="minorEastAsia"/>
          <w:spacing w:val="-6"/>
          <w:sz w:val="24"/>
          <w:szCs w:val="24"/>
          <w:lang w:val="en-US" w:eastAsia="zh-CN"/>
        </w:rPr>
      </w:pPr>
      <w:r>
        <w:rPr>
          <w:rFonts w:hint="eastAsia" w:asciiTheme="minorEastAsia" w:hAnsiTheme="minorEastAsia" w:eastAsiaTheme="minorEastAsia" w:cstheme="minorEastAsia"/>
          <w:spacing w:val="-6"/>
          <w:sz w:val="24"/>
          <w:szCs w:val="24"/>
        </w:rPr>
        <w:t>一般来说，在进行乳化时，油、水两相的温度皆可控制在75℃～85℃，如油相中有高熔点的蜡等成分，此时乳化温度就要高一些。若使用的乳化剂具有一定的转相温度，则乳化温度也最好选在转相温度左右。</w:t>
      </w:r>
      <w:r>
        <w:rPr>
          <w:rFonts w:hint="eastAsia" w:asciiTheme="minorEastAsia" w:hAnsiTheme="minorEastAsia" w:cstheme="minorEastAsia"/>
          <w:spacing w:val="-6"/>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469" w:afterLines="150" w:line="400" w:lineRule="atLeast"/>
        <w:ind w:firstLine="4332" w:firstLineChars="1900"/>
        <w:textAlignment w:val="auto"/>
        <w:rPr>
          <w:rFonts w:hint="eastAsia" w:eastAsiaTheme="minorEastAsia"/>
          <w:spacing w:val="-6"/>
          <w:lang w:eastAsia="zh-CN"/>
        </w:rPr>
      </w:pP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来源</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中国食品药品监管</w:t>
      </w:r>
      <w:r>
        <w:rPr>
          <w:rFonts w:hint="eastAsia" w:asciiTheme="minorEastAsia" w:hAnsiTheme="minorEastAsia" w:eastAsiaTheme="minorEastAsia" w:cstheme="minorEastAsia"/>
          <w:spacing w:val="-6"/>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新规：进口非特化妆品备案电子信息凭证</w:t>
      </w:r>
    </w:p>
    <w:p>
      <w:pPr>
        <w:jc w:val="center"/>
        <w:rPr>
          <w:rFonts w:hint="eastAsia" w:ascii="黑体" w:hAnsi="黑体" w:eastAsia="黑体" w:cs="黑体"/>
          <w:sz w:val="36"/>
          <w:szCs w:val="36"/>
        </w:rPr>
      </w:pPr>
      <w:r>
        <w:rPr>
          <w:rFonts w:hint="eastAsia" w:ascii="黑体" w:hAnsi="黑体" w:eastAsia="黑体" w:cs="黑体"/>
          <w:sz w:val="36"/>
          <w:szCs w:val="36"/>
        </w:rPr>
        <w:t>不再设定有效期</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国家药监局再度对化妆品监督管理中出现的问题进行解答。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继禁止宣传“药妆”等问题后，2月20日，国家药监局再度对化妆品监督管理中出现的问题进行解答。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对于“进口非特殊用途化妆品备案电子信息凭证的邮箱期如何设定”的问题，国家药监局回复称，进口非特殊用途化妆品调整为备案管理以后，对备案产品的备案电子信息凭证不再设定有效期。境内责任人应当每年定期通过网上备案系统平台向化妆品监督管理部门报送已备案产品上一年度的生产或进口、上市销售、不良反应监测以及接受行政处罚等有关情况。</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而化妆品企业能否在提交进口非特殊用途化妆品备案时，一并选择多个进口省份?国家药监局指出，系统默认境内责任人所在省份即为进口省份。后续境内责任人需要从其他省份进口时，境内责任人在备案系统中增加填报进口省份及收货人信息后，系统将自动在原备案凭证的“进口省份”栏目中增加载明新增省份名称。</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该项操作无需人工审查，但境内责任人应根据实际情况如实填写。监管部门后续开展监督检查时，发现境内责任人并未从所填报省份进口的，将按提交虚假备案资料进行调查处理，一经查实将对该境内责任人按照异常用户予以冻结。</w:t>
      </w:r>
    </w:p>
    <w:p>
      <w:pPr>
        <w:keepNext w:val="0"/>
        <w:keepLines w:val="0"/>
        <w:pageBreakBefore w:val="0"/>
        <w:widowControl w:val="0"/>
        <w:kinsoku/>
        <w:wordWrap/>
        <w:overflowPunct/>
        <w:topLinePunct w:val="0"/>
        <w:autoSpaceDE/>
        <w:autoSpaceDN/>
        <w:bidi w:val="0"/>
        <w:adjustRightInd/>
        <w:snapToGrid/>
        <w:spacing w:line="440" w:lineRule="atLeast"/>
        <w:ind w:firstLine="5040" w:firstLineChars="21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来源：北京商报</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进口非特殊用途化妆品备案详解</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进口非特殊用途化妆品备案发展历程</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1.2017年1月食品药品监管总局与质检总局发布《关于在上海市浦东新区试点实施进口非特殊用途化妆品备案管理有关事宜的公告》（2017年第7号）明确了试点时间与范畴。</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2.2017年1月食品药品监管总局发布《关于发布上海市浦东新区进口非特殊用途化妆品备案管理工作程序（暂行）的公告》（2017年第10号）明确了上海市浦东新区进口非特殊用途化妆品备案管理工作程序。</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3.2017年5月总局办公厅发布《关于明确浦东新区试点实施进口非特殊用途化妆品备案检验报告要求等有关事宜的通知》（食药监办药化管〔2017〕72号）。</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4.2018年3月总局关于在更大范围试点实施进口非特殊用途化妆品备案管理有关事宜的公告（2018年第31号）进一步推广和复制上海市浦东新区试点经验，现就在天津、辽宁、浙江、福建、河南、湖北、广东、重庆、四川、陕西10个自贸试验区。</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5.2018年11月《关于在全国范围实施进口非特殊用途化妆品备案管理有关事宜的公告》（2018年第88号）关于在全国范围实施进口非特殊用途化妆品备案管理工作的公告。</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进口非特殊用途化妆品备案审查法规依据</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1.《关于进一步明确化妆品行政许可申报资料项目要求的通知》(国食药监保化[2011]427号)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2.《关于印发化妆品技术审评要点和化妆品技术审评指南的通知》(国食药监许[2010]393号)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3.《关于印发化妆品行政许可申报受理规定的通知》(国食药监许[2009]856号)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4.《关于印发化妆品行政许可受理审查要点的通知》(食药监办许[2010]115号)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5.《关于发布上海市浦东新区进口非特殊用途化妆品备案管理工作程序的公告》(2017年第10号)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6.《关于印发化妆品产品技术要求规范的通知》(国食药监许[2010]454号)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7.《总局办公厅关于明确浦东新区试点实施进口非特殊用途化妆品备案检验报告要求等有关事宜的通知》(食药监办药化管〔2017〕72号)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8.《关于印发化妆品中可能存在的安全性风险物质风险评估指南的通知》(国食药监许[2010]339号)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9.《关于在全国范围实施进口非特殊用途化妆品备案管理有关事宜的公告》（2018年第88号）</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进口非特殊用途化妆品备案与许可差异</w:t>
      </w:r>
    </w:p>
    <w:tbl>
      <w:tblPr>
        <w:tblStyle w:val="6"/>
        <w:tblW w:w="8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18"/>
        <w:gridCol w:w="3505"/>
        <w:gridCol w:w="4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sz w:val="20"/>
                <w:szCs w:val="22"/>
              </w:rPr>
              <w:t>序号</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备案</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国家局许可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1</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进口非特殊用途化妆品备案申请表</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进口非特殊用途化妆品行政许可申请表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2</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产品中文名称命名依据</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产品中文名称命名依据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3</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产品配方</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产品配方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60" w:hRule="atLeast"/>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4</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产品质量安全控制要求</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产品质量安全控制要求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5</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产品包装图片</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产品原包装（含产品标签、产品说明书）；拟专为中国市场设计包装的，需同时提交产品设计包装（含产品标签、产品说明书）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6</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产品生产工艺简述</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经国家药品监督管理局认定的许可检验机构出具的检验报告及相关资料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7</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产品技术要求</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产品中可能存在安全性风险物质的有关安全性评估资料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8</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化妆品行政许可检验机构出具的检验报告及相关资料</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已经备案的行政许可在华申报责任单位授权书复印件及行政许可在华申报责任单位营业执照复印件并加盖公章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9</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产品中可能存在安全性风险物质的有关安全性评估资料</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化妆品使用原料及原料来源符合疯牛病疫区高风险物质禁限用要求的承诺书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10</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化妆品适用原料及原料来源符合疯牛病疫区高风险物质禁限用要求的承诺书</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产品在生产国（地区）或原产国（地区）生产和销售的证明文件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11</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产品在生产国（地区）或原产国（地区）生产和销售的证明文件</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另附许可检验机构封样并未启封的市售样品</w:t>
            </w:r>
            <w:r>
              <w:rPr>
                <w:color w:val="000000"/>
              </w:rPr>
              <w:t>1</w:t>
            </w:r>
            <w:r>
              <w:rPr>
                <w:rFonts w:hint="eastAsia"/>
                <w:color w:val="000000"/>
              </w:rPr>
              <w:t>件，可能有助于行政许可的其他资料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12</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境外生产企业生产质量管理的相关证明材料</w:t>
            </w:r>
          </w:p>
        </w:tc>
        <w:tc>
          <w:tcPr>
            <w:tcW w:w="4137"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产品技术要求的文字版和电子版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85" w:hRule="atLeast"/>
          <w:jc w:val="center"/>
        </w:trPr>
        <w:tc>
          <w:tcPr>
            <w:tcW w:w="618"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color w:val="000000"/>
              </w:rPr>
            </w:pPr>
            <w:r>
              <w:rPr>
                <w:rFonts w:hint="eastAsia"/>
                <w:color w:val="000000"/>
              </w:rPr>
              <w:t>13</w:t>
            </w:r>
          </w:p>
        </w:tc>
        <w:tc>
          <w:tcPr>
            <w:tcW w:w="3505" w:type="dxa"/>
            <w:shd w:val="clear" w:color="auto" w:fill="FFFFFF"/>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color w:val="000000"/>
              </w:rPr>
            </w:pPr>
            <w:r>
              <w:rPr>
                <w:rFonts w:hint="eastAsia"/>
                <w:color w:val="000000"/>
              </w:rPr>
              <w:t>有助于备案的其他资料</w:t>
            </w:r>
          </w:p>
        </w:tc>
        <w:tc>
          <w:tcPr>
            <w:tcW w:w="4137" w:type="dxa"/>
            <w:shd w:val="clear" w:color="auto" w:fill="FFFFFF"/>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color w:val="000000"/>
              </w:rPr>
            </w:pPr>
          </w:p>
        </w:tc>
      </w:tr>
    </w:tbl>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从上面对比表格来看，备案与许可大致差异可以归纳为备案增加项目、公示项变化、备案减少项目以及责任单位变化</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总的来讲，进口非特殊用途化妆品备案申报资料真实性是首要前提，申报资料的完整性是申报的基本要求，申报资料合理性是检测方向，申报资料一致性是核心要素。</w:t>
      </w:r>
    </w:p>
    <w:p>
      <w:pPr>
        <w:keepNext w:val="0"/>
        <w:keepLines w:val="0"/>
        <w:pageBreakBefore w:val="0"/>
        <w:widowControl w:val="0"/>
        <w:kinsoku/>
        <w:wordWrap/>
        <w:overflowPunct/>
        <w:topLinePunct w:val="0"/>
        <w:autoSpaceDE/>
        <w:autoSpaceDN/>
        <w:bidi w:val="0"/>
        <w:adjustRightInd/>
        <w:snapToGrid/>
        <w:spacing w:line="440" w:lineRule="atLeast"/>
        <w:ind w:firstLine="4800" w:firstLineChars="20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t>妆说</w:t>
      </w:r>
      <w:r>
        <w:rPr>
          <w:rFonts w:hint="eastAsia" w:asciiTheme="minorEastAsia" w:hAnsiTheme="minorEastAsia" w:eastAsiaTheme="minorEastAsia" w:cstheme="minorEastAsia"/>
          <w:sz w:val="24"/>
          <w:szCs w:val="24"/>
          <w:lang w:val="en-US" w:eastAsia="zh-CN"/>
        </w:rPr>
        <w:t>公众号</w:t>
      </w:r>
      <w:r>
        <w:rPr>
          <w:rFonts w:hint="eastAsia" w:asciiTheme="minorEastAsia" w:hAnsiTheme="minorEastAsia" w:eastAsiaTheme="minorEastAsia" w:cstheme="minorEastAsia"/>
          <w:sz w:val="24"/>
          <w:szCs w:val="24"/>
          <w:lang w:eastAsia="zh-CN"/>
        </w:rPr>
        <w:t>）</w:t>
      </w:r>
    </w:p>
    <w:p>
      <w:pPr>
        <w:jc w:val="center"/>
        <w:rPr>
          <w:rFonts w:hint="eastAsia" w:ascii="黑体" w:hAnsi="黑体" w:eastAsia="黑体" w:cs="黑体"/>
          <w:sz w:val="36"/>
          <w:szCs w:val="36"/>
        </w:rPr>
      </w:pPr>
      <w:r>
        <w:rPr>
          <w:rFonts w:hint="eastAsia" w:ascii="黑体" w:hAnsi="黑体" w:eastAsia="黑体" w:cs="黑体"/>
          <w:sz w:val="36"/>
          <w:szCs w:val="36"/>
        </w:rPr>
        <w:t>药监局：化妆品添加微量防腐剂</w:t>
      </w:r>
    </w:p>
    <w:p>
      <w:pPr>
        <w:jc w:val="center"/>
        <w:rPr>
          <w:rFonts w:hint="eastAsia" w:ascii="黑体" w:hAnsi="黑体" w:eastAsia="黑体" w:cs="黑体"/>
          <w:sz w:val="36"/>
          <w:szCs w:val="36"/>
        </w:rPr>
      </w:pPr>
      <w:r>
        <w:rPr>
          <w:rFonts w:hint="eastAsia" w:ascii="黑体" w:hAnsi="黑体" w:eastAsia="黑体" w:cs="黑体"/>
          <w:sz w:val="36"/>
          <w:szCs w:val="36"/>
        </w:rPr>
        <w:t>可不在产品标签上进行标注</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对化妆品监督管理的相关规定，国家药品监督管理局（简称“药监局”）仍在持续进行政策解答。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近日，药监局在官方微信公众号上又一次明确了化妆品原料中添加成分的标注问题，明确指出化妆品在原料中添加的微量稳定剂、防腐剂、抗氧剂等成分，因不属于化妆品成分范畴，可以不在产品标签上进行标注。不过，药监局并未给出“微量”的具体数值。缺乏清晰、可量化的标准，很可能导致化妆品企业在备注产品标签时出现不规范操作，同时也给后续监管环节造成管理和执法困难。此前，该局还针对“宣称药妆、医用护肤品等药妆品概念属于违法行为”做了重申。</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化妆品成分，是指生产过程中有目的地添加到产品配方中，并在最终产品中起到一定作用的成分。此前，中国国家标准《消费品使用说明 化妆品通用标签》（GB5296.3-2008）显示，化妆品销售包装的可视面上应真实地标注化妆品全部成分的名称。但药监局认为，“为了保证化妆品原料质量而在原料中添加的微量稳定剂、防腐剂、抗氧剂等成分，虽然在产品配方中应当进行填报，但不属于化妆品成分的范畴，可以不在产品标签上进行标注。”</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开资料显示，防腐剂是指能够抑制或防止微生物生长和繁殖，确保化妆品在保质期内不发生变质的一类物质。微生物污染能够引起化妆品气味、颜色和黏度的变化，导致产品的活性组分降解、使用感发生变化，甚至对人体健康产生危害，通过添加防腐剂即可避免上述情况的发生。化妆品中常用的防腐剂，有对羟基苯甲酸酯（尼泊金酯）、咪唑烷基脲，凯松、苯甲酸、布罗波尔等。</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对于消费者普遍关注的“化妆品中的防腐剂”是否存在安全风险的话题，记者查阅药监局网站发现，官方也曾针对该话题作出过解答。</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监局认为，防腐剂对皮肤没有益处，同时，它也是引起化妆品过敏反应及其他刺激性反应的常见因素，但是化妆品中如果不添加防腐剂，则会带来更大的安全风险。“生产商很难做到完全不添加防腐剂，不会冒着产品质量不稳定的风险将产品卖给消费者。对于声称不添加防腐剂的化妆品，其诚信度也只能做到生产厂家在生产过程中不添加防腐剂，但无法保证其所使用的原料中不含有防腐剂。”药监局称。</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而对于宣传不添加防腐剂的化妆品，药监局认为此类产品的普及是不切实际的。“宣称不添加防腐剂的这类产品往往包装内含量都很小，保质期较短，要求开封后在短时间内必须用完，在使用上有很大的局限性。” 此外，不少消费者对市场上一种“通过缓慢释放微量的甲醛来达到防腐效果”的化妆品防腐剂也存在担忧，甚至认为“只要含有甲醛的产品一概不能使用”。</w:t>
      </w:r>
    </w:p>
    <w:p>
      <w:pPr>
        <w:keepNext w:val="0"/>
        <w:keepLines w:val="0"/>
        <w:pageBreakBefore w:val="0"/>
        <w:widowControl w:val="0"/>
        <w:kinsoku/>
        <w:wordWrap/>
        <w:overflowPunct/>
        <w:topLinePunct w:val="0"/>
        <w:autoSpaceDE/>
        <w:autoSpaceDN/>
        <w:bidi w:val="0"/>
        <w:adjustRightInd/>
        <w:snapToGrid/>
        <w:spacing w:after="469" w:afterLines="150" w:line="440" w:lineRule="atLeast"/>
        <w:ind w:firstLine="480" w:firstLineChars="200"/>
        <w:textAlignment w:val="auto"/>
        <w:rPr>
          <w:rFonts w:hint="eastAsia" w:eastAsiaTheme="minorEastAsia"/>
          <w:lang w:eastAsia="zh-CN"/>
        </w:rPr>
      </w:pPr>
      <w:r>
        <w:rPr>
          <w:rFonts w:hint="eastAsia" w:asciiTheme="minorEastAsia" w:hAnsiTheme="minorEastAsia" w:eastAsiaTheme="minorEastAsia" w:cstheme="minorEastAsia"/>
          <w:sz w:val="24"/>
          <w:szCs w:val="24"/>
        </w:rPr>
        <w:t>对此，药监局认为，微量的甲醛不会对人体造成伤害，而且中国对允许使用的防腐剂在使用剂量上是有严格限制要求的。“作为消费者来说，对于化妆品中的防腐剂应该有一个科学的认识，只要生产厂家遵循国家出台的法律法规，把防腐剂的用量控制在安全剂量范围内，就可以保证消费者的使用安全，消费者不必为此过度担忧。”</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来源：界面新闻</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关于发布《过碳酸钠消毒剂卫生要求》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等6项推荐性卫生行业标准的通告</w:t>
      </w:r>
    </w:p>
    <w:p>
      <w:pPr>
        <w:keepNext w:val="0"/>
        <w:keepLines w:val="0"/>
        <w:pageBreakBefore w:val="0"/>
        <w:widowControl w:val="0"/>
        <w:kinsoku/>
        <w:wordWrap/>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现发布《过碳酸钠消毒剂卫生要求》等6项推荐性卫生行业标准，编号和名称如下： 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"http://www.nhc.gov.cn/fzs/s7852d/201902/c45b1f17a08442a68f2f3b585ccf01fa/files/561a4889e1d8426e83cf0509f1961d2e.pdf" \t "http://www.nhc.gov.cn/fzs/s7852d/201902/_blank"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WS/T 646—2019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过碳酸钠消毒剂卫生要求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"http://www.nhc.gov.cn/fzs/s7852d/201902/c45b1f17a08442a68f2f3b585ccf01fa/files/4bc4b6d1a52e464cad6cbeff0c2853c4.pdf" \t "http://www.nhc.gov.cn/fzs/s7852d/201902/_blank"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WS/T 647—2019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溶葡萄球菌酶和溶菌酶消毒剂卫生要求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"http://www.nhc.gov.cn/fzs/s7852d/201902/c45b1f17a08442a68f2f3b585ccf01fa/files/789e8ce44eff4834b110764f9af82f23.pdf" \t "http://www.nhc.gov.cn/fzs/s7852d/201902/_blank"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WS/T 648—2019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空气消毒机通用卫生要求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"http://www.nhc.gov.cn/fzs/s7852d/201902/c45b1f17a08442a68f2f3b585ccf01fa/files/103f1605291c411caa13e7d4168f4dde.pdf" \t "http://www.nhc.gov.cn/fzs/s7852d/201902/_blank"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WS/T 649—2019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医用低温蒸汽甲醛灭菌器卫生要求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"http://www.nhc.gov.cn/fzs/s7852d/201902/c45b1f17a08442a68f2f3b585ccf01fa/files/e0090dd685534767abb60c6d24629954.pdf" \t "http://www.nhc.gov.cn/fzs/s7852d/201902/_blank"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WS/T 650—2019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抗菌和抑菌效果评价方法</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"http://www.nhc.gov.cn/fzs/s7852d/201902/c45b1f17a08442a68f2f3b585ccf01fa/files/fc27796fd3cf41749108ec24f22268c7.pdf" \t "http://www.nhc.gov.cn/fzs/s7852d/201902/_blank"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WS/T 651—2019</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医用低温蒸汽甲醛灭菌指示物评价要求 </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上述标准自2019年7月1日起施行。</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国家卫生健康委员会</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2019年1月30日</w:t>
      </w:r>
    </w:p>
    <w:p>
      <w:pPr>
        <w:keepNext w:val="0"/>
        <w:keepLines w:val="0"/>
        <w:pageBreakBefore w:val="0"/>
        <w:widowControl w:val="0"/>
        <w:kinsoku/>
        <w:wordWrap w:val="0"/>
        <w:overflowPunct/>
        <w:topLinePunct w:val="0"/>
        <w:autoSpaceDE/>
        <w:autoSpaceDN/>
        <w:bidi w:val="0"/>
        <w:adjustRightInd/>
        <w:snapToGrid/>
        <w:spacing w:line="440" w:lineRule="atLeast"/>
        <w:ind w:firstLine="480" w:firstLineChars="20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http://www.nhc.gov.cn</w:t>
      </w:r>
    </w:p>
    <w:sectPr>
      <w:pgSz w:w="11906" w:h="16838"/>
      <w:pgMar w:top="2239" w:right="1928" w:bottom="2239" w:left="1928" w:header="851" w:footer="198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2299D"/>
    <w:multiLevelType w:val="singleLevel"/>
    <w:tmpl w:val="74A2299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5450B"/>
    <w:rsid w:val="03C2169D"/>
    <w:rsid w:val="100D1EAE"/>
    <w:rsid w:val="16526F3A"/>
    <w:rsid w:val="1DB96D65"/>
    <w:rsid w:val="1DBC6011"/>
    <w:rsid w:val="1F383A46"/>
    <w:rsid w:val="21B200F3"/>
    <w:rsid w:val="259317C5"/>
    <w:rsid w:val="2D1F3FEC"/>
    <w:rsid w:val="317B31B6"/>
    <w:rsid w:val="3D79682F"/>
    <w:rsid w:val="4A3A3C8A"/>
    <w:rsid w:val="4AAF5788"/>
    <w:rsid w:val="51980E5F"/>
    <w:rsid w:val="52A110AD"/>
    <w:rsid w:val="54645A81"/>
    <w:rsid w:val="555A5E65"/>
    <w:rsid w:val="589D0B8B"/>
    <w:rsid w:val="608325FE"/>
    <w:rsid w:val="64F61BB8"/>
    <w:rsid w:val="652A1508"/>
    <w:rsid w:val="6EB22A45"/>
    <w:rsid w:val="7B1B0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15575</Words>
  <Characters>16340</Characters>
  <Lines>0</Lines>
  <Paragraphs>0</Paragraphs>
  <TotalTime>0</TotalTime>
  <ScaleCrop>false</ScaleCrop>
  <LinksUpToDate>false</LinksUpToDate>
  <CharactersWithSpaces>16555</CharactersWithSpaces>
  <Application>WPS Office_11.1.0.7983_F1E327BC-269C-435d-A152-05C5408002CA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2019-03-13T00:40:00Z</dcterms:created>
  <dc:creator>PC</dc:creator>
  <cp:lastModifiedBy>PC</cp:lastModifiedBy>
  <dcterms:modified xsi:type="dcterms:W3CDTF">2019-04-23T01:52:34Z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