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left="1065" w:leftChars="1" w:hanging="1063" w:hangingChars="294"/>
        <w:jc w:val="center"/>
        <w:rPr>
          <w:rFonts w:ascii="宋体" w:hAnsi="宋体" w:cs="宋体"/>
          <w:b/>
          <w:color w:val="000000"/>
          <w:kern w:val="0"/>
          <w:sz w:val="36"/>
          <w:szCs w:val="36"/>
        </w:rPr>
      </w:pPr>
      <w:bookmarkStart w:id="0" w:name="OLE_LINK1"/>
      <w:bookmarkStart w:id="1" w:name="OLE_LINK2"/>
      <w:bookmarkStart w:id="2" w:name="SectionMark4"/>
      <w:r>
        <w:rPr>
          <w:rFonts w:hint="eastAsia" w:ascii="宋体" w:hAnsi="宋体" w:cs="宋体"/>
          <w:b/>
          <w:color w:val="000000"/>
          <w:kern w:val="0"/>
          <w:sz w:val="36"/>
          <w:szCs w:val="36"/>
        </w:rPr>
        <w:t>化妆品用化学原料</w:t>
      </w:r>
      <w:bookmarkEnd w:id="0"/>
      <w:bookmarkEnd w:id="1"/>
      <w:r>
        <w:rPr>
          <w:rFonts w:hint="eastAsia" w:ascii="宋体" w:hAnsi="宋体" w:cs="宋体"/>
          <w:b/>
          <w:color w:val="000000"/>
          <w:kern w:val="0"/>
          <w:sz w:val="36"/>
          <w:szCs w:val="36"/>
        </w:rPr>
        <w:t>皮肤腐蚀性大鼠经皮电阻试验方法</w:t>
      </w:r>
    </w:p>
    <w:p>
      <w:pPr>
        <w:widowControl/>
        <w:spacing w:line="360" w:lineRule="auto"/>
        <w:ind w:left="1065" w:leftChars="1" w:hanging="1063" w:hangingChars="294"/>
        <w:jc w:val="center"/>
        <w:rPr>
          <w:rFonts w:ascii="宋体" w:hAnsi="宋体" w:cs="宋体"/>
          <w:b/>
          <w:color w:val="000000"/>
          <w:kern w:val="0"/>
          <w:sz w:val="36"/>
          <w:szCs w:val="36"/>
        </w:rPr>
      </w:pPr>
      <w:r>
        <w:rPr>
          <w:rFonts w:hint="eastAsia" w:ascii="宋体" w:hAnsi="宋体" w:cs="宋体"/>
          <w:b/>
          <w:color w:val="000000"/>
          <w:kern w:val="0"/>
          <w:sz w:val="36"/>
          <w:szCs w:val="36"/>
        </w:rPr>
        <w:t>（征求意见稿）</w:t>
      </w:r>
    </w:p>
    <w:bookmarkEnd w:id="2"/>
    <w:p>
      <w:pPr>
        <w:pStyle w:val="19"/>
        <w:spacing w:line="360" w:lineRule="auto"/>
        <w:ind w:firstLine="643"/>
        <w:rPr>
          <w:rFonts w:ascii="仿宋_GB2312" w:eastAsia="仿宋_GB2312"/>
          <w:b/>
          <w:sz w:val="32"/>
          <w:szCs w:val="32"/>
        </w:rPr>
      </w:pPr>
    </w:p>
    <w:p>
      <w:pPr>
        <w:pStyle w:val="19"/>
        <w:spacing w:line="360" w:lineRule="auto"/>
        <w:ind w:firstLine="643"/>
        <w:rPr>
          <w:rFonts w:ascii="仿宋_GB2312" w:eastAsia="仿宋_GB2312"/>
          <w:b/>
          <w:sz w:val="32"/>
          <w:szCs w:val="32"/>
        </w:rPr>
      </w:pPr>
      <w:r>
        <w:rPr>
          <w:rFonts w:hint="eastAsia" w:ascii="仿宋_GB2312" w:eastAsia="仿宋_GB2312"/>
          <w:b/>
          <w:sz w:val="32"/>
          <w:szCs w:val="32"/>
        </w:rPr>
        <w:t>一、范围</w:t>
      </w:r>
    </w:p>
    <w:p>
      <w:pPr>
        <w:pStyle w:val="19"/>
        <w:spacing w:line="360" w:lineRule="auto"/>
        <w:ind w:firstLine="640"/>
        <w:rPr>
          <w:rFonts w:ascii="仿宋_GB2312" w:eastAsia="仿宋_GB2312"/>
          <w:sz w:val="32"/>
          <w:szCs w:val="32"/>
        </w:rPr>
      </w:pPr>
      <w:r>
        <w:rPr>
          <w:rFonts w:ascii="仿宋_GB2312" w:eastAsia="仿宋_GB2312"/>
          <w:sz w:val="32"/>
          <w:szCs w:val="32"/>
        </w:rPr>
        <w:t>本</w:t>
      </w:r>
      <w:r>
        <w:rPr>
          <w:rFonts w:hint="eastAsia" w:ascii="仿宋_GB2312" w:eastAsia="仿宋_GB2312"/>
          <w:sz w:val="32"/>
          <w:szCs w:val="32"/>
        </w:rPr>
        <w:t>方法</w:t>
      </w:r>
      <w:r>
        <w:rPr>
          <w:rFonts w:ascii="仿宋_GB2312" w:eastAsia="仿宋_GB2312"/>
          <w:sz w:val="32"/>
          <w:szCs w:val="32"/>
        </w:rPr>
        <w:t>规定了</w:t>
      </w:r>
      <w:r>
        <w:rPr>
          <w:rFonts w:hint="eastAsia" w:ascii="仿宋_GB2312" w:eastAsia="仿宋_GB2312"/>
          <w:sz w:val="32"/>
          <w:szCs w:val="32"/>
        </w:rPr>
        <w:t>大鼠经皮电阻试验的范围、规范性引用文件、术语和定义、试验原理、试验材料与试剂、试验步骤、结果判定标准。</w:t>
      </w:r>
    </w:p>
    <w:p>
      <w:pPr>
        <w:pStyle w:val="19"/>
        <w:spacing w:line="360" w:lineRule="auto"/>
        <w:ind w:firstLine="640"/>
        <w:rPr>
          <w:rFonts w:ascii="仿宋_GB2312" w:eastAsia="仿宋_GB2312"/>
          <w:sz w:val="32"/>
          <w:szCs w:val="32"/>
        </w:rPr>
      </w:pPr>
      <w:r>
        <w:rPr>
          <w:rFonts w:ascii="仿宋_GB2312" w:eastAsia="仿宋_GB2312"/>
          <w:sz w:val="32"/>
          <w:szCs w:val="32"/>
        </w:rPr>
        <w:t>本</w:t>
      </w:r>
      <w:r>
        <w:rPr>
          <w:rFonts w:hint="eastAsia" w:ascii="仿宋_GB2312" w:eastAsia="仿宋_GB2312"/>
          <w:sz w:val="32"/>
          <w:szCs w:val="32"/>
        </w:rPr>
        <w:t>方法</w:t>
      </w:r>
      <w:r>
        <w:rPr>
          <w:rFonts w:ascii="仿宋_GB2312" w:eastAsia="仿宋_GB2312"/>
          <w:sz w:val="32"/>
          <w:szCs w:val="32"/>
        </w:rPr>
        <w:t>适用于化妆品</w:t>
      </w:r>
      <w:r>
        <w:rPr>
          <w:rFonts w:hint="eastAsia" w:ascii="仿宋_GB2312" w:eastAsia="仿宋_GB2312"/>
          <w:sz w:val="32"/>
          <w:szCs w:val="32"/>
        </w:rPr>
        <w:t>用化学</w:t>
      </w:r>
      <w:r>
        <w:rPr>
          <w:rFonts w:ascii="仿宋_GB2312" w:eastAsia="仿宋_GB2312"/>
          <w:sz w:val="32"/>
          <w:szCs w:val="32"/>
        </w:rPr>
        <w:t>原料</w:t>
      </w:r>
      <w:r>
        <w:rPr>
          <w:rFonts w:hint="eastAsia" w:ascii="仿宋_GB2312" w:eastAsia="仿宋_GB2312"/>
          <w:sz w:val="32"/>
          <w:szCs w:val="32"/>
        </w:rPr>
        <w:t>潜在皮肤腐蚀性的</w:t>
      </w:r>
      <w:r>
        <w:rPr>
          <w:rFonts w:ascii="仿宋_GB2312" w:eastAsia="仿宋_GB2312"/>
          <w:sz w:val="32"/>
          <w:szCs w:val="32"/>
        </w:rPr>
        <w:t>检测。</w:t>
      </w:r>
    </w:p>
    <w:p>
      <w:pPr>
        <w:pStyle w:val="19"/>
        <w:spacing w:line="360" w:lineRule="auto"/>
        <w:ind w:firstLine="643"/>
        <w:rPr>
          <w:rFonts w:ascii="仿宋_GB2312" w:eastAsia="仿宋_GB2312"/>
          <w:b/>
          <w:sz w:val="32"/>
          <w:szCs w:val="32"/>
        </w:rPr>
      </w:pPr>
      <w:r>
        <w:rPr>
          <w:rFonts w:hint="eastAsia" w:ascii="仿宋_GB2312" w:eastAsia="仿宋_GB2312"/>
          <w:b/>
          <w:sz w:val="32"/>
          <w:szCs w:val="32"/>
        </w:rPr>
        <w:t>二、规范性引用文件</w:t>
      </w:r>
    </w:p>
    <w:p>
      <w:pPr>
        <w:pStyle w:val="19"/>
        <w:spacing w:line="360" w:lineRule="auto"/>
        <w:ind w:firstLine="640"/>
        <w:rPr>
          <w:rFonts w:ascii="仿宋_GB2312" w:eastAsia="仿宋_GB2312"/>
          <w:sz w:val="32"/>
          <w:szCs w:val="32"/>
        </w:rPr>
      </w:pPr>
      <w:r>
        <w:rPr>
          <w:rFonts w:hint="eastAsia" w:ascii="仿宋_GB2312" w:eastAsia="仿宋_GB2312"/>
          <w:sz w:val="32"/>
          <w:szCs w:val="32"/>
        </w:rPr>
        <w:t>下列文件中的条款通过本方法的引用而成为本方法的条款。注明日期的引用文件，其后所有的修改单(不包括勘误的内容)或修订版均不适用于本方法，但是，鼓励使用单位对修订部分的引用进行研究，并提出意见。研究是否可使用这些文件的最新版本。</w:t>
      </w:r>
    </w:p>
    <w:p>
      <w:pPr>
        <w:pStyle w:val="19"/>
        <w:spacing w:line="360" w:lineRule="auto"/>
        <w:ind w:firstLine="640"/>
        <w:rPr>
          <w:rFonts w:ascii="仿宋_GB2312" w:eastAsia="仿宋_GB2312"/>
          <w:sz w:val="32"/>
          <w:szCs w:val="32"/>
        </w:rPr>
      </w:pPr>
      <w:r>
        <w:rPr>
          <w:rFonts w:ascii="仿宋_GB2312" w:eastAsia="仿宋_GB2312"/>
          <w:sz w:val="32"/>
          <w:szCs w:val="32"/>
        </w:rPr>
        <w:t xml:space="preserve">经济合作与发展组织（OECD）guidelines for the testing of chemicals: </w:t>
      </w:r>
      <w:r>
        <w:rPr>
          <w:rFonts w:hint="eastAsia" w:ascii="仿宋_GB2312" w:eastAsia="仿宋_GB2312"/>
          <w:i/>
          <w:sz w:val="32"/>
          <w:szCs w:val="32"/>
        </w:rPr>
        <w:t>In Vitro</w:t>
      </w:r>
      <w:r>
        <w:rPr>
          <w:rFonts w:hint="eastAsia" w:ascii="仿宋_GB2312" w:eastAsia="仿宋_GB2312"/>
          <w:sz w:val="32"/>
          <w:szCs w:val="32"/>
        </w:rPr>
        <w:t xml:space="preserve"> Skin</w:t>
      </w:r>
      <w:r>
        <w:rPr>
          <w:rFonts w:ascii="仿宋_GB2312" w:eastAsia="仿宋_GB2312"/>
          <w:sz w:val="32"/>
          <w:szCs w:val="32"/>
        </w:rPr>
        <w:t xml:space="preserve"> </w:t>
      </w:r>
      <w:r>
        <w:rPr>
          <w:rFonts w:hint="eastAsia" w:ascii="仿宋_GB2312" w:eastAsia="仿宋_GB2312"/>
          <w:sz w:val="32"/>
          <w:szCs w:val="32"/>
        </w:rPr>
        <w:t xml:space="preserve">Corrosion: Transcutaneous Electrical Resistance Test </w:t>
      </w:r>
      <w:r>
        <w:rPr>
          <w:rFonts w:ascii="仿宋_GB2312" w:eastAsia="仿宋_GB2312"/>
          <w:sz w:val="32"/>
          <w:szCs w:val="32"/>
        </w:rPr>
        <w:t>NO. 43</w:t>
      </w:r>
      <w:r>
        <w:rPr>
          <w:rFonts w:hint="eastAsia" w:ascii="仿宋_GB2312" w:eastAsia="仿宋_GB2312"/>
          <w:sz w:val="32"/>
          <w:szCs w:val="32"/>
        </w:rPr>
        <w:t>0</w:t>
      </w:r>
      <w:r>
        <w:rPr>
          <w:rFonts w:ascii="仿宋_GB2312" w:eastAsia="仿宋_GB2312"/>
          <w:sz w:val="32"/>
          <w:szCs w:val="32"/>
        </w:rPr>
        <w:t xml:space="preserve"> (23 Nov 2004)</w:t>
      </w:r>
    </w:p>
    <w:p>
      <w:pPr>
        <w:pStyle w:val="19"/>
        <w:spacing w:line="360" w:lineRule="auto"/>
        <w:ind w:firstLine="640"/>
        <w:rPr>
          <w:rFonts w:ascii="仿宋_GB2312" w:eastAsia="仿宋_GB2312"/>
          <w:sz w:val="32"/>
          <w:szCs w:val="32"/>
        </w:rPr>
      </w:pPr>
      <w:r>
        <w:rPr>
          <w:rFonts w:hint="eastAsia" w:ascii="仿宋_GB2312" w:eastAsia="仿宋_GB2312"/>
          <w:sz w:val="32"/>
          <w:szCs w:val="32"/>
        </w:rPr>
        <w:t>美国替代方案确效跨部门协调委员会（ICCVAM）</w:t>
      </w:r>
      <w:r>
        <w:rPr>
          <w:rFonts w:ascii="仿宋_GB2312" w:eastAsia="仿宋_GB2312"/>
          <w:i/>
          <w:sz w:val="32"/>
          <w:szCs w:val="32"/>
        </w:rPr>
        <w:t>In Vitro</w:t>
      </w:r>
      <w:r>
        <w:rPr>
          <w:rFonts w:ascii="仿宋_GB2312" w:eastAsia="仿宋_GB2312"/>
          <w:sz w:val="32"/>
          <w:szCs w:val="32"/>
        </w:rPr>
        <w:t xml:space="preserve"> Skin Transcutaneous Electrical Resistance (TER) Tests for Skin Corrosion (May 2004)</w:t>
      </w:r>
    </w:p>
    <w:p>
      <w:pPr>
        <w:pStyle w:val="19"/>
        <w:spacing w:line="360" w:lineRule="auto"/>
        <w:ind w:firstLine="643"/>
        <w:rPr>
          <w:rFonts w:ascii="仿宋_GB2312" w:eastAsia="仿宋_GB2312"/>
          <w:b/>
          <w:sz w:val="32"/>
          <w:szCs w:val="32"/>
        </w:rPr>
      </w:pPr>
      <w:r>
        <w:rPr>
          <w:rFonts w:hint="eastAsia" w:ascii="仿宋_GB2312" w:eastAsia="仿宋_GB2312"/>
          <w:b/>
          <w:sz w:val="32"/>
          <w:szCs w:val="32"/>
        </w:rPr>
        <w:t>三、术语和定义</w:t>
      </w:r>
    </w:p>
    <w:p>
      <w:pPr>
        <w:pStyle w:val="19"/>
        <w:spacing w:line="360" w:lineRule="auto"/>
        <w:ind w:firstLine="640"/>
        <w:rPr>
          <w:rFonts w:ascii="仿宋_GB2312" w:eastAsia="仿宋_GB2312"/>
          <w:sz w:val="32"/>
          <w:szCs w:val="32"/>
        </w:rPr>
      </w:pPr>
      <w:r>
        <w:rPr>
          <w:rFonts w:hint="eastAsia" w:ascii="仿宋_GB2312" w:eastAsia="仿宋_GB2312"/>
          <w:sz w:val="32"/>
          <w:szCs w:val="32"/>
        </w:rPr>
        <w:t>下列术语和定义适用于本方法。</w:t>
      </w:r>
    </w:p>
    <w:p>
      <w:pPr>
        <w:pStyle w:val="19"/>
        <w:spacing w:line="360" w:lineRule="auto"/>
        <w:ind w:firstLine="640"/>
        <w:rPr>
          <w:rFonts w:ascii="仿宋_GB2312" w:eastAsia="仿宋_GB2312"/>
          <w:sz w:val="32"/>
          <w:szCs w:val="32"/>
        </w:rPr>
      </w:pPr>
      <w:r>
        <w:rPr>
          <w:rFonts w:hint="eastAsia" w:ascii="仿宋_GB2312" w:eastAsia="仿宋_GB2312"/>
          <w:sz w:val="32"/>
          <w:szCs w:val="32"/>
        </w:rPr>
        <w:t>（一）大鼠经皮电阻值（</w:t>
      </w:r>
      <w:r>
        <w:rPr>
          <w:rFonts w:ascii="仿宋_GB2312" w:eastAsia="仿宋_GB2312"/>
          <w:sz w:val="32"/>
          <w:szCs w:val="32"/>
        </w:rPr>
        <w:t>Transcutaneous Electrical Resistance value,</w:t>
      </w:r>
      <w:r>
        <w:rPr>
          <w:rFonts w:hint="eastAsia" w:ascii="仿宋_GB2312" w:eastAsia="仿宋_GB2312"/>
          <w:sz w:val="32"/>
          <w:szCs w:val="32"/>
        </w:rPr>
        <w:t xml:space="preserve"> </w:t>
      </w:r>
      <w:r>
        <w:rPr>
          <w:rFonts w:ascii="仿宋_GB2312" w:eastAsia="仿宋_GB2312"/>
          <w:sz w:val="32"/>
          <w:szCs w:val="32"/>
        </w:rPr>
        <w:t>TER value</w:t>
      </w:r>
      <w:r>
        <w:rPr>
          <w:rFonts w:hint="eastAsia" w:ascii="仿宋_GB2312" w:eastAsia="仿宋_GB2312"/>
          <w:sz w:val="32"/>
          <w:szCs w:val="32"/>
        </w:rPr>
        <w:t>）</w:t>
      </w:r>
    </w:p>
    <w:p>
      <w:pPr>
        <w:pStyle w:val="19"/>
        <w:spacing w:line="360" w:lineRule="auto"/>
        <w:ind w:firstLine="640"/>
        <w:rPr>
          <w:rFonts w:ascii="仿宋_GB2312" w:eastAsia="仿宋_GB2312"/>
          <w:sz w:val="32"/>
          <w:szCs w:val="32"/>
        </w:rPr>
      </w:pPr>
      <w:r>
        <w:rPr>
          <w:rFonts w:hint="eastAsia" w:ascii="仿宋_GB2312" w:eastAsia="仿宋_GB2312"/>
          <w:sz w:val="32"/>
          <w:szCs w:val="32"/>
        </w:rPr>
        <w:t>大鼠皮肤屏障产生的可测量的电阻值，通常为稳定数值，单位kΩ。</w:t>
      </w:r>
    </w:p>
    <w:p>
      <w:pPr>
        <w:pStyle w:val="19"/>
        <w:spacing w:line="360" w:lineRule="auto"/>
        <w:ind w:firstLine="64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）皮肤腐蚀性</w:t>
      </w:r>
    </w:p>
    <w:p>
      <w:pPr>
        <w:pStyle w:val="19"/>
        <w:spacing w:line="360" w:lineRule="auto"/>
        <w:ind w:firstLine="640"/>
        <w:rPr>
          <w:rFonts w:ascii="仿宋_GB2312" w:eastAsia="仿宋_GB2312"/>
          <w:sz w:val="32"/>
          <w:szCs w:val="32"/>
        </w:rPr>
      </w:pPr>
      <w:r>
        <w:rPr>
          <w:rFonts w:hint="eastAsia" w:ascii="仿宋_GB2312" w:eastAsia="仿宋_GB2312"/>
          <w:sz w:val="32"/>
          <w:szCs w:val="32"/>
        </w:rPr>
        <w:t>皮肤</w:t>
      </w:r>
      <w:r>
        <w:rPr>
          <w:rFonts w:ascii="仿宋_GB2312" w:eastAsia="仿宋_GB2312"/>
          <w:sz w:val="32"/>
          <w:szCs w:val="32"/>
        </w:rPr>
        <w:t>接触到受试物后</w:t>
      </w:r>
      <w:r>
        <w:rPr>
          <w:rFonts w:hint="eastAsia" w:ascii="仿宋_GB2312" w:eastAsia="仿宋_GB2312"/>
          <w:sz w:val="32"/>
          <w:szCs w:val="32"/>
        </w:rPr>
        <w:t>局部引起的不可逆性组织损伤。</w:t>
      </w:r>
    </w:p>
    <w:p>
      <w:pPr>
        <w:pStyle w:val="19"/>
        <w:spacing w:line="360" w:lineRule="auto"/>
        <w:ind w:firstLine="643"/>
        <w:rPr>
          <w:rFonts w:ascii="仿宋_GB2312" w:eastAsia="仿宋_GB2312"/>
          <w:b/>
          <w:sz w:val="32"/>
          <w:szCs w:val="32"/>
        </w:rPr>
      </w:pPr>
      <w:r>
        <w:rPr>
          <w:rFonts w:hint="eastAsia" w:ascii="仿宋_GB2312" w:eastAsia="仿宋_GB2312"/>
          <w:b/>
          <w:sz w:val="32"/>
          <w:szCs w:val="32"/>
        </w:rPr>
        <w:t>四、试验原理</w:t>
      </w:r>
    </w:p>
    <w:p>
      <w:pPr>
        <w:pStyle w:val="19"/>
        <w:spacing w:line="360" w:lineRule="auto"/>
        <w:ind w:firstLine="640"/>
        <w:rPr>
          <w:rFonts w:ascii="仿宋_GB2312" w:eastAsia="仿宋_GB2312"/>
          <w:sz w:val="32"/>
          <w:szCs w:val="32"/>
        </w:rPr>
      </w:pPr>
      <w:r>
        <w:rPr>
          <w:rFonts w:hint="eastAsia" w:ascii="仿宋_GB2312" w:eastAsia="仿宋_GB2312"/>
          <w:sz w:val="32"/>
          <w:szCs w:val="32"/>
        </w:rPr>
        <w:t>皮肤表面的角质层可起到保护皮肤屏障的作用，产生稳定的电阻值。当腐蚀性化学物作用于离体皮肤时，</w:t>
      </w:r>
      <w:r>
        <w:rPr>
          <w:rFonts w:ascii="仿宋_GB2312" w:eastAsia="仿宋_GB2312"/>
          <w:sz w:val="32"/>
          <w:szCs w:val="32"/>
        </w:rPr>
        <w:t>会</w:t>
      </w:r>
      <w:r>
        <w:rPr>
          <w:rFonts w:hint="eastAsia" w:ascii="仿宋_GB2312" w:eastAsia="仿宋_GB2312"/>
          <w:sz w:val="32"/>
          <w:szCs w:val="32"/>
        </w:rPr>
        <w:t>破坏皮肤屏障作用，增加皮肤离子通透性，使电阻值降低。通过惠斯通电桥的装置，可检测离体皮肤经皮电阻值</w:t>
      </w:r>
      <w:r>
        <w:rPr>
          <w:rFonts w:ascii="仿宋_GB2312" w:eastAsia="仿宋_GB2312"/>
          <w:sz w:val="32"/>
          <w:szCs w:val="32"/>
        </w:rPr>
        <w:t>的改变，</w:t>
      </w:r>
      <w:r>
        <w:rPr>
          <w:rFonts w:hint="eastAsia" w:ascii="仿宋_GB2312" w:eastAsia="仿宋_GB2312"/>
          <w:sz w:val="32"/>
          <w:szCs w:val="32"/>
        </w:rPr>
        <w:t>从而判断受试物是否具有皮肤腐蚀性。</w:t>
      </w:r>
    </w:p>
    <w:p>
      <w:pPr>
        <w:pStyle w:val="19"/>
        <w:spacing w:line="360" w:lineRule="auto"/>
        <w:ind w:firstLine="643"/>
        <w:rPr>
          <w:rFonts w:ascii="仿宋_GB2312" w:eastAsia="仿宋_GB2312"/>
          <w:b/>
          <w:sz w:val="32"/>
          <w:szCs w:val="32"/>
        </w:rPr>
      </w:pPr>
      <w:r>
        <w:rPr>
          <w:rFonts w:hint="eastAsia" w:ascii="仿宋_GB2312" w:eastAsia="仿宋_GB2312"/>
          <w:b/>
          <w:sz w:val="32"/>
          <w:szCs w:val="32"/>
        </w:rPr>
        <w:t>五、试验材料与试剂</w:t>
      </w:r>
    </w:p>
    <w:p>
      <w:pPr>
        <w:pStyle w:val="19"/>
        <w:spacing w:line="360" w:lineRule="auto"/>
        <w:ind w:firstLine="640"/>
        <w:rPr>
          <w:rFonts w:ascii="仿宋_GB2312" w:eastAsia="仿宋_GB2312"/>
          <w:sz w:val="32"/>
          <w:szCs w:val="32"/>
        </w:rPr>
      </w:pPr>
      <w:r>
        <w:rPr>
          <w:rFonts w:hint="eastAsia" w:ascii="仿宋_GB2312" w:eastAsia="仿宋_GB2312"/>
          <w:sz w:val="32"/>
          <w:szCs w:val="32"/>
        </w:rPr>
        <w:t>（一）受试物的配制</w:t>
      </w:r>
    </w:p>
    <w:p>
      <w:pPr>
        <w:pStyle w:val="19"/>
        <w:spacing w:line="360" w:lineRule="auto"/>
        <w:ind w:firstLine="640"/>
        <w:rPr>
          <w:rFonts w:ascii="仿宋_GB2312" w:eastAsia="仿宋_GB2312"/>
          <w:sz w:val="32"/>
          <w:szCs w:val="32"/>
        </w:rPr>
      </w:pPr>
      <w:r>
        <w:rPr>
          <w:rFonts w:hint="eastAsia" w:ascii="仿宋_GB2312" w:eastAsia="仿宋_GB2312"/>
          <w:sz w:val="32"/>
          <w:szCs w:val="32"/>
        </w:rPr>
        <w:t>液体受试物可直接使用原液或原膏。若受试物为固体，应将其研磨成细粉状，均匀洒在皮片表皮面，并用150μ</w:t>
      </w:r>
      <w:r>
        <w:rPr>
          <w:rFonts w:ascii="仿宋_GB2312" w:eastAsia="仿宋_GB2312"/>
          <w:sz w:val="32"/>
          <w:szCs w:val="32"/>
        </w:rPr>
        <w:t>L</w:t>
      </w:r>
      <w:r>
        <w:rPr>
          <w:rFonts w:hint="eastAsia" w:ascii="仿宋_GB2312" w:eastAsia="仿宋_GB2312"/>
          <w:sz w:val="32"/>
          <w:szCs w:val="32"/>
        </w:rPr>
        <w:t>双蒸水充分湿润，以保证受试物与皮肤有良好的接触。</w:t>
      </w:r>
    </w:p>
    <w:p>
      <w:pPr>
        <w:pStyle w:val="19"/>
        <w:spacing w:line="360" w:lineRule="auto"/>
        <w:ind w:firstLine="640"/>
        <w:rPr>
          <w:rFonts w:ascii="仿宋_GB2312" w:eastAsia="仿宋_GB2312"/>
          <w:sz w:val="32"/>
          <w:szCs w:val="32"/>
        </w:rPr>
      </w:pPr>
      <w:r>
        <w:rPr>
          <w:rFonts w:hint="eastAsia" w:ascii="仿宋_GB2312" w:eastAsia="仿宋_GB2312"/>
          <w:sz w:val="32"/>
          <w:szCs w:val="32"/>
        </w:rPr>
        <w:t>本方法</w:t>
      </w:r>
      <w:r>
        <w:rPr>
          <w:rFonts w:ascii="仿宋_GB2312" w:eastAsia="仿宋_GB2312"/>
          <w:sz w:val="32"/>
          <w:szCs w:val="32"/>
        </w:rPr>
        <w:t>不适用于</w:t>
      </w:r>
      <w:r>
        <w:rPr>
          <w:rFonts w:hint="eastAsia" w:ascii="仿宋_GB2312" w:eastAsia="仿宋_GB2312"/>
          <w:sz w:val="32"/>
          <w:szCs w:val="32"/>
        </w:rPr>
        <w:t>气雾型</w:t>
      </w:r>
      <w:r>
        <w:rPr>
          <w:rFonts w:ascii="仿宋_GB2312" w:eastAsia="仿宋_GB2312"/>
          <w:sz w:val="32"/>
          <w:szCs w:val="32"/>
        </w:rPr>
        <w:t>受试物的检测。</w:t>
      </w:r>
    </w:p>
    <w:p>
      <w:pPr>
        <w:pStyle w:val="19"/>
        <w:spacing w:line="360" w:lineRule="auto"/>
        <w:ind w:firstLine="640"/>
        <w:rPr>
          <w:rFonts w:ascii="仿宋_GB2312" w:eastAsia="仿宋_GB2312"/>
          <w:sz w:val="32"/>
          <w:szCs w:val="32"/>
        </w:rPr>
      </w:pPr>
      <w:r>
        <w:rPr>
          <w:rFonts w:hint="eastAsia" w:ascii="仿宋_GB2312" w:eastAsia="仿宋_GB2312"/>
          <w:sz w:val="32"/>
          <w:szCs w:val="32"/>
        </w:rPr>
        <w:t>每次实验应设阴性对照（去离子水）和阳性对照（10M HCl）。</w:t>
      </w:r>
    </w:p>
    <w:p>
      <w:pPr>
        <w:pStyle w:val="19"/>
        <w:spacing w:line="360" w:lineRule="auto"/>
        <w:ind w:firstLine="64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溶液</w:t>
      </w:r>
      <w:r>
        <w:rPr>
          <w:rFonts w:hint="eastAsia" w:ascii="仿宋_GB2312" w:eastAsia="仿宋_GB2312"/>
          <w:sz w:val="32"/>
          <w:szCs w:val="32"/>
        </w:rPr>
        <w:t>的配制</w:t>
      </w:r>
    </w:p>
    <w:p>
      <w:pPr>
        <w:pStyle w:val="19"/>
        <w:spacing w:line="360" w:lineRule="auto"/>
        <w:ind w:firstLine="640"/>
        <w:rPr>
          <w:rFonts w:ascii="仿宋_GB2312" w:eastAsia="仿宋_GB2312"/>
          <w:sz w:val="32"/>
          <w:szCs w:val="32"/>
        </w:rPr>
      </w:pPr>
      <w:r>
        <w:rPr>
          <w:rFonts w:hint="eastAsia" w:ascii="仿宋_GB2312" w:eastAsia="仿宋_GB2312"/>
          <w:sz w:val="32"/>
          <w:szCs w:val="32"/>
        </w:rPr>
        <w:t>1．154mmo</w:t>
      </w:r>
      <w:r>
        <w:rPr>
          <w:rFonts w:ascii="仿宋_GB2312" w:eastAsia="仿宋_GB2312"/>
          <w:sz w:val="32"/>
          <w:szCs w:val="32"/>
        </w:rPr>
        <w:t>l</w:t>
      </w:r>
      <w:r>
        <w:rPr>
          <w:rFonts w:hint="eastAsia" w:ascii="仿宋_GB2312" w:eastAsia="仿宋_GB2312"/>
          <w:sz w:val="32"/>
          <w:szCs w:val="32"/>
        </w:rPr>
        <w:t>/L硫酸镁溶液</w:t>
      </w:r>
    </w:p>
    <w:p>
      <w:pPr>
        <w:pStyle w:val="19"/>
        <w:spacing w:line="360" w:lineRule="auto"/>
        <w:ind w:firstLine="640"/>
        <w:rPr>
          <w:rFonts w:ascii="仿宋_GB2312" w:eastAsia="仿宋_GB2312"/>
          <w:sz w:val="32"/>
          <w:szCs w:val="32"/>
        </w:rPr>
      </w:pPr>
      <w:r>
        <w:rPr>
          <w:rFonts w:hint="eastAsia" w:ascii="仿宋_GB2312" w:eastAsia="仿宋_GB2312"/>
          <w:sz w:val="32"/>
          <w:szCs w:val="32"/>
        </w:rPr>
        <w:t>称取18.54g无水硫酸镁，溶至1000mL去离子水中。室温静置备用。</w:t>
      </w:r>
    </w:p>
    <w:p>
      <w:pPr>
        <w:pStyle w:val="19"/>
        <w:spacing w:line="360" w:lineRule="auto"/>
        <w:ind w:firstLine="640"/>
        <w:rPr>
          <w:rFonts w:ascii="仿宋_GB2312" w:eastAsia="仿宋_GB2312"/>
          <w:sz w:val="32"/>
          <w:szCs w:val="32"/>
        </w:rPr>
      </w:pPr>
      <w:r>
        <w:rPr>
          <w:rFonts w:hint="eastAsia" w:ascii="仿宋_GB2312" w:eastAsia="仿宋_GB2312"/>
          <w:sz w:val="32"/>
          <w:szCs w:val="32"/>
        </w:rPr>
        <w:t>2．30%（</w:t>
      </w:r>
      <w:r>
        <w:rPr>
          <w:rFonts w:ascii="仿宋_GB2312" w:eastAsia="仿宋_GB2312"/>
          <w:sz w:val="32"/>
          <w:szCs w:val="32"/>
        </w:rPr>
        <w:t>w/v）</w:t>
      </w:r>
      <w:r>
        <w:rPr>
          <w:rFonts w:hint="eastAsia" w:ascii="仿宋_GB2312" w:eastAsia="仿宋_GB2312"/>
          <w:sz w:val="32"/>
          <w:szCs w:val="32"/>
        </w:rPr>
        <w:t>SDS水溶液</w:t>
      </w:r>
    </w:p>
    <w:p>
      <w:pPr>
        <w:pStyle w:val="19"/>
        <w:spacing w:line="360" w:lineRule="auto"/>
        <w:ind w:firstLine="640"/>
        <w:rPr>
          <w:rFonts w:ascii="仿宋_GB2312" w:eastAsia="仿宋_GB2312"/>
          <w:sz w:val="32"/>
          <w:szCs w:val="32"/>
        </w:rPr>
      </w:pPr>
      <w:r>
        <w:rPr>
          <w:rFonts w:hint="eastAsia" w:ascii="仿宋_GB2312" w:eastAsia="仿宋_GB2312"/>
          <w:sz w:val="32"/>
          <w:szCs w:val="32"/>
        </w:rPr>
        <w:t>称取150g十二烷基硫酸钠，溶至500m</w:t>
      </w:r>
      <w:r>
        <w:rPr>
          <w:rFonts w:ascii="仿宋_GB2312" w:eastAsia="仿宋_GB2312"/>
          <w:sz w:val="32"/>
          <w:szCs w:val="32"/>
        </w:rPr>
        <w:t>L</w:t>
      </w:r>
      <w:r>
        <w:rPr>
          <w:rFonts w:hint="eastAsia" w:ascii="仿宋_GB2312" w:eastAsia="仿宋_GB2312"/>
          <w:sz w:val="32"/>
          <w:szCs w:val="32"/>
        </w:rPr>
        <w:t>双蒸水中，溶解时可加热搅拌。溶解过程中会产生气泡，需提前配置，室温静置备用。</w:t>
      </w:r>
    </w:p>
    <w:p>
      <w:pPr>
        <w:pStyle w:val="19"/>
        <w:spacing w:line="360" w:lineRule="auto"/>
        <w:ind w:firstLine="640"/>
        <w:rPr>
          <w:rFonts w:ascii="仿宋_GB2312" w:eastAsia="仿宋_GB2312"/>
          <w:sz w:val="32"/>
          <w:szCs w:val="32"/>
        </w:rPr>
      </w:pPr>
      <w:r>
        <w:rPr>
          <w:rFonts w:hint="eastAsia" w:ascii="仿宋_GB2312" w:eastAsia="仿宋_GB2312"/>
          <w:sz w:val="32"/>
          <w:szCs w:val="32"/>
        </w:rPr>
        <w:t>3.10%（</w:t>
      </w:r>
      <w:r>
        <w:rPr>
          <w:rFonts w:ascii="仿宋_GB2312" w:eastAsia="仿宋_GB2312"/>
          <w:sz w:val="32"/>
          <w:szCs w:val="32"/>
        </w:rPr>
        <w:t>w/v）</w:t>
      </w:r>
      <w:r>
        <w:rPr>
          <w:rFonts w:hint="eastAsia" w:ascii="仿宋_GB2312" w:eastAsia="仿宋_GB2312"/>
          <w:sz w:val="32"/>
          <w:szCs w:val="32"/>
        </w:rPr>
        <w:t>SRB水溶液</w:t>
      </w:r>
    </w:p>
    <w:p>
      <w:pPr>
        <w:pStyle w:val="19"/>
        <w:spacing w:line="360" w:lineRule="auto"/>
        <w:ind w:firstLine="640"/>
        <w:rPr>
          <w:rFonts w:ascii="仿宋_GB2312" w:eastAsia="仿宋_GB2312"/>
          <w:sz w:val="32"/>
          <w:szCs w:val="32"/>
        </w:rPr>
      </w:pPr>
      <w:r>
        <w:rPr>
          <w:rFonts w:hint="eastAsia" w:ascii="仿宋_GB2312" w:eastAsia="仿宋_GB2312"/>
          <w:sz w:val="32"/>
          <w:szCs w:val="32"/>
        </w:rPr>
        <w:t>称取1g罗丹明B，溶至10m</w:t>
      </w:r>
      <w:r>
        <w:rPr>
          <w:rFonts w:ascii="仿宋_GB2312" w:eastAsia="仿宋_GB2312"/>
          <w:sz w:val="32"/>
          <w:szCs w:val="32"/>
        </w:rPr>
        <w:t>L</w:t>
      </w:r>
      <w:r>
        <w:rPr>
          <w:rFonts w:hint="eastAsia" w:ascii="仿宋_GB2312" w:eastAsia="仿宋_GB2312"/>
          <w:sz w:val="32"/>
          <w:szCs w:val="32"/>
        </w:rPr>
        <w:t xml:space="preserve"> </w:t>
      </w:r>
      <w:r>
        <w:rPr>
          <w:rFonts w:ascii="仿宋_GB2312" w:eastAsia="仿宋_GB2312"/>
          <w:sz w:val="32"/>
          <w:szCs w:val="32"/>
        </w:rPr>
        <w:t>30% SDS</w:t>
      </w:r>
      <w:r>
        <w:rPr>
          <w:rFonts w:hint="eastAsia" w:ascii="仿宋_GB2312" w:eastAsia="仿宋_GB2312"/>
          <w:sz w:val="32"/>
          <w:szCs w:val="32"/>
        </w:rPr>
        <w:t>水溶液中。室温静置备用。</w:t>
      </w:r>
    </w:p>
    <w:p>
      <w:pPr>
        <w:pStyle w:val="19"/>
        <w:spacing w:line="360" w:lineRule="auto"/>
        <w:ind w:firstLine="643"/>
        <w:rPr>
          <w:rFonts w:ascii="仿宋_GB2312" w:eastAsia="仿宋_GB2312"/>
          <w:b/>
          <w:sz w:val="32"/>
          <w:szCs w:val="32"/>
        </w:rPr>
      </w:pPr>
      <w:r>
        <w:rPr>
          <w:rFonts w:hint="eastAsia" w:ascii="仿宋_GB2312" w:eastAsia="仿宋_GB2312"/>
          <w:b/>
          <w:sz w:val="32"/>
          <w:szCs w:val="32"/>
        </w:rPr>
        <w:t>六、 试验步骤</w:t>
      </w:r>
    </w:p>
    <w:p>
      <w:pPr>
        <w:pStyle w:val="19"/>
        <w:spacing w:line="360" w:lineRule="auto"/>
        <w:ind w:firstLine="640"/>
        <w:rPr>
          <w:rFonts w:ascii="仿宋_GB2312" w:eastAsia="仿宋_GB2312"/>
          <w:sz w:val="32"/>
          <w:szCs w:val="32"/>
        </w:rPr>
      </w:pPr>
      <w:r>
        <w:rPr>
          <w:rFonts w:hint="eastAsia" w:ascii="仿宋_GB2312" w:eastAsia="仿宋_GB2312"/>
          <w:sz w:val="32"/>
          <w:szCs w:val="32"/>
        </w:rPr>
        <w:t>（一） 实验动物和饲养环境</w:t>
      </w:r>
    </w:p>
    <w:p>
      <w:pPr>
        <w:pStyle w:val="19"/>
        <w:spacing w:line="360" w:lineRule="auto"/>
        <w:ind w:firstLine="640"/>
        <w:rPr>
          <w:rFonts w:ascii="仿宋_GB2312" w:eastAsia="仿宋_GB2312"/>
          <w:sz w:val="32"/>
          <w:szCs w:val="32"/>
        </w:rPr>
      </w:pPr>
      <w:r>
        <w:rPr>
          <w:rFonts w:hint="eastAsia" w:ascii="仿宋_GB2312" w:eastAsia="仿宋_GB2312"/>
          <w:sz w:val="32"/>
          <w:szCs w:val="32"/>
        </w:rPr>
        <w:t>来源可靠或清晰的28-30日龄大鼠（</w:t>
      </w:r>
      <w:r>
        <w:rPr>
          <w:rFonts w:ascii="仿宋_GB2312" w:eastAsia="仿宋_GB2312"/>
          <w:sz w:val="32"/>
          <w:szCs w:val="32"/>
        </w:rPr>
        <w:t>可</w:t>
      </w:r>
      <w:r>
        <w:rPr>
          <w:rFonts w:hint="eastAsia" w:ascii="仿宋_GB2312" w:eastAsia="仿宋_GB2312"/>
          <w:sz w:val="32"/>
          <w:szCs w:val="32"/>
        </w:rPr>
        <w:t>选择</w:t>
      </w:r>
      <w:r>
        <w:rPr>
          <w:rFonts w:ascii="仿宋_GB2312" w:eastAsia="仿宋_GB2312"/>
          <w:sz w:val="32"/>
          <w:szCs w:val="32"/>
        </w:rPr>
        <w:t>Wistar</w:t>
      </w:r>
      <w:r>
        <w:rPr>
          <w:rFonts w:hint="eastAsia" w:ascii="仿宋_GB2312" w:eastAsia="仿宋_GB2312"/>
          <w:sz w:val="32"/>
          <w:szCs w:val="32"/>
        </w:rPr>
        <w:t>、SD</w:t>
      </w:r>
      <w:r>
        <w:rPr>
          <w:rFonts w:ascii="仿宋_GB2312" w:eastAsia="仿宋_GB2312"/>
          <w:sz w:val="32"/>
          <w:szCs w:val="32"/>
        </w:rPr>
        <w:t>或其他近交系大鼠）。</w:t>
      </w:r>
      <w:r>
        <w:rPr>
          <w:rFonts w:hint="eastAsia" w:ascii="仿宋_GB2312" w:eastAsia="仿宋_GB2312"/>
          <w:sz w:val="32"/>
          <w:szCs w:val="32"/>
        </w:rPr>
        <w:t>雌</w:t>
      </w:r>
      <w:r>
        <w:rPr>
          <w:rFonts w:ascii="仿宋_GB2312" w:eastAsia="仿宋_GB2312"/>
          <w:sz w:val="32"/>
          <w:szCs w:val="32"/>
        </w:rPr>
        <w:t>雄不限，</w:t>
      </w:r>
      <w:r>
        <w:rPr>
          <w:rFonts w:hint="eastAsia" w:ascii="仿宋_GB2312" w:eastAsia="仿宋_GB2312"/>
          <w:sz w:val="32"/>
          <w:szCs w:val="32"/>
        </w:rPr>
        <w:t>建议</w:t>
      </w:r>
      <w:r>
        <w:rPr>
          <w:rFonts w:ascii="仿宋_GB2312" w:eastAsia="仿宋_GB2312"/>
          <w:sz w:val="32"/>
          <w:szCs w:val="32"/>
        </w:rPr>
        <w:t>使用单一性别。</w:t>
      </w:r>
      <w:r>
        <w:rPr>
          <w:rFonts w:hint="eastAsia" w:ascii="仿宋_GB2312" w:eastAsia="仿宋_GB2312"/>
          <w:sz w:val="32"/>
          <w:szCs w:val="32"/>
        </w:rPr>
        <w:t>大鼠的</w:t>
      </w:r>
      <w:r>
        <w:rPr>
          <w:rFonts w:ascii="仿宋_GB2312" w:eastAsia="仿宋_GB2312"/>
          <w:sz w:val="32"/>
          <w:szCs w:val="32"/>
        </w:rPr>
        <w:t>年龄和</w:t>
      </w:r>
      <w:r>
        <w:rPr>
          <w:rFonts w:hint="eastAsia" w:ascii="仿宋_GB2312" w:eastAsia="仿宋_GB2312"/>
          <w:sz w:val="32"/>
          <w:szCs w:val="32"/>
        </w:rPr>
        <w:t>种属</w:t>
      </w:r>
      <w:r>
        <w:rPr>
          <w:rFonts w:ascii="仿宋_GB2312" w:eastAsia="仿宋_GB2312"/>
          <w:sz w:val="32"/>
          <w:szCs w:val="32"/>
        </w:rPr>
        <w:t>选择</w:t>
      </w:r>
      <w:r>
        <w:rPr>
          <w:rFonts w:hint="eastAsia" w:ascii="仿宋_GB2312" w:eastAsia="仿宋_GB2312"/>
          <w:sz w:val="32"/>
          <w:szCs w:val="32"/>
        </w:rPr>
        <w:t>相关联</w:t>
      </w:r>
      <w:r>
        <w:rPr>
          <w:rFonts w:ascii="仿宋_GB2312" w:eastAsia="仿宋_GB2312"/>
          <w:sz w:val="32"/>
          <w:szCs w:val="32"/>
        </w:rPr>
        <w:t>，</w:t>
      </w:r>
      <w:r>
        <w:rPr>
          <w:rFonts w:hint="eastAsia" w:ascii="仿宋_GB2312" w:eastAsia="仿宋_GB2312"/>
          <w:sz w:val="32"/>
          <w:szCs w:val="32"/>
        </w:rPr>
        <w:t>皮肤来源要求</w:t>
      </w:r>
      <w:r>
        <w:rPr>
          <w:rFonts w:ascii="仿宋_GB2312" w:eastAsia="仿宋_GB2312"/>
          <w:sz w:val="32"/>
          <w:szCs w:val="32"/>
        </w:rPr>
        <w:t>为处于</w:t>
      </w:r>
      <w:r>
        <w:rPr>
          <w:rFonts w:hint="eastAsia" w:ascii="仿宋_GB2312" w:eastAsia="仿宋_GB2312"/>
          <w:sz w:val="32"/>
          <w:szCs w:val="32"/>
        </w:rPr>
        <w:t>成年</w:t>
      </w:r>
      <w:r>
        <w:rPr>
          <w:rFonts w:ascii="仿宋_GB2312" w:eastAsia="仿宋_GB2312"/>
          <w:sz w:val="32"/>
          <w:szCs w:val="32"/>
        </w:rPr>
        <w:t>毛发生长</w:t>
      </w:r>
      <w:r>
        <w:rPr>
          <w:rFonts w:hint="eastAsia" w:ascii="仿宋_GB2312" w:eastAsia="仿宋_GB2312"/>
          <w:sz w:val="32"/>
          <w:szCs w:val="32"/>
        </w:rPr>
        <w:t>前的</w:t>
      </w:r>
      <w:r>
        <w:rPr>
          <w:rFonts w:ascii="仿宋_GB2312" w:eastAsia="仿宋_GB2312"/>
          <w:sz w:val="32"/>
          <w:szCs w:val="32"/>
        </w:rPr>
        <w:t>毛囊休眠期的大鼠。</w:t>
      </w:r>
      <w:r>
        <w:rPr>
          <w:rFonts w:hint="eastAsia" w:ascii="仿宋_GB2312" w:eastAsia="仿宋_GB2312"/>
          <w:sz w:val="32"/>
          <w:szCs w:val="32"/>
        </w:rPr>
        <w:t>本</w:t>
      </w:r>
      <w:r>
        <w:rPr>
          <w:rFonts w:ascii="仿宋_GB2312" w:eastAsia="仿宋_GB2312"/>
          <w:sz w:val="32"/>
          <w:szCs w:val="32"/>
        </w:rPr>
        <w:t>方法</w:t>
      </w:r>
      <w:r>
        <w:rPr>
          <w:rFonts w:hint="eastAsia" w:ascii="仿宋_GB2312" w:eastAsia="仿宋_GB2312"/>
          <w:sz w:val="32"/>
          <w:szCs w:val="32"/>
        </w:rPr>
        <w:t>列出</w:t>
      </w:r>
      <w:r>
        <w:rPr>
          <w:rFonts w:ascii="仿宋_GB2312" w:eastAsia="仿宋_GB2312"/>
          <w:sz w:val="32"/>
          <w:szCs w:val="32"/>
        </w:rPr>
        <w:t>的鼠龄为Wistar或</w:t>
      </w:r>
      <w:r>
        <w:rPr>
          <w:rFonts w:hint="eastAsia" w:ascii="仿宋_GB2312" w:eastAsia="仿宋_GB2312"/>
          <w:sz w:val="32"/>
          <w:szCs w:val="32"/>
        </w:rPr>
        <w:t>SD大鼠</w:t>
      </w:r>
      <w:r>
        <w:rPr>
          <w:rFonts w:ascii="仿宋_GB2312" w:eastAsia="仿宋_GB2312"/>
          <w:sz w:val="32"/>
          <w:szCs w:val="32"/>
        </w:rPr>
        <w:t>的鼠龄。</w:t>
      </w:r>
    </w:p>
    <w:p>
      <w:pPr>
        <w:pStyle w:val="19"/>
        <w:spacing w:line="360" w:lineRule="auto"/>
        <w:ind w:firstLine="640"/>
        <w:rPr>
          <w:rFonts w:ascii="仿宋_GB2312" w:eastAsia="仿宋_GB2312"/>
          <w:sz w:val="32"/>
          <w:szCs w:val="32"/>
        </w:rPr>
      </w:pPr>
      <w:r>
        <w:rPr>
          <w:rFonts w:hint="eastAsia" w:ascii="仿宋_GB2312" w:eastAsia="仿宋_GB2312"/>
          <w:sz w:val="32"/>
          <w:szCs w:val="32"/>
        </w:rPr>
        <w:t>每只大鼠可产生6－8块皮片，每个受试物至少需要使用3块皮片。如要澄清某些可疑的反应则需增加皮片的数目。</w:t>
      </w:r>
    </w:p>
    <w:p>
      <w:pPr>
        <w:pStyle w:val="19"/>
        <w:spacing w:line="360" w:lineRule="auto"/>
        <w:ind w:firstLine="640"/>
        <w:rPr>
          <w:rFonts w:ascii="仿宋_GB2312" w:eastAsia="仿宋_GB2312"/>
          <w:sz w:val="32"/>
          <w:szCs w:val="32"/>
        </w:rPr>
      </w:pPr>
      <w:r>
        <w:rPr>
          <w:rFonts w:hint="eastAsia" w:ascii="仿宋_GB2312" w:eastAsia="仿宋_GB2312"/>
          <w:sz w:val="32"/>
          <w:szCs w:val="32"/>
        </w:rPr>
        <w:t>实验动物及实验动物房应符合国家相应规定。</w:t>
      </w:r>
    </w:p>
    <w:p>
      <w:pPr>
        <w:pStyle w:val="19"/>
        <w:spacing w:line="360" w:lineRule="auto"/>
        <w:ind w:firstLine="640"/>
        <w:rPr>
          <w:rFonts w:ascii="仿宋_GB2312" w:eastAsia="仿宋_GB2312"/>
          <w:sz w:val="32"/>
          <w:szCs w:val="32"/>
        </w:rPr>
      </w:pPr>
      <w:r>
        <w:rPr>
          <w:rFonts w:hint="eastAsia" w:ascii="仿宋_GB2312" w:eastAsia="仿宋_GB2312"/>
          <w:sz w:val="32"/>
          <w:szCs w:val="32"/>
        </w:rPr>
        <w:t>（二） 大鼠经皮电阻试验步骤</w:t>
      </w:r>
    </w:p>
    <w:p>
      <w:pPr>
        <w:pStyle w:val="19"/>
        <w:spacing w:line="360" w:lineRule="auto"/>
        <w:ind w:firstLine="640"/>
        <w:rPr>
          <w:rFonts w:ascii="仿宋_GB2312" w:eastAsia="仿宋_GB2312"/>
          <w:sz w:val="32"/>
          <w:szCs w:val="32"/>
        </w:rPr>
      </w:pPr>
      <w:r>
        <w:rPr>
          <w:rFonts w:hint="eastAsia" w:ascii="仿宋_GB2312" w:eastAsia="仿宋_GB2312"/>
          <w:sz w:val="32"/>
          <w:szCs w:val="32"/>
        </w:rPr>
        <w:t>1. 取约22日龄的大鼠，将其背部脊柱两侧毛剃净，不可损伤表皮，去毛范围尽量大，用抗生素液（浓度可有效抑制微生物生长即可）小心擦拭去毛区域。饲养3－4日后，再次用抗生素液体擦拭大鼠背部去毛区域，擦拭后3天内处死取皮肤。</w:t>
      </w:r>
    </w:p>
    <w:p>
      <w:pPr>
        <w:pStyle w:val="19"/>
        <w:spacing w:line="360" w:lineRule="auto"/>
        <w:ind w:firstLine="640"/>
        <w:rPr>
          <w:rFonts w:ascii="仿宋_GB2312" w:eastAsia="仿宋_GB2312"/>
          <w:sz w:val="32"/>
          <w:szCs w:val="32"/>
        </w:rPr>
      </w:pPr>
      <w:r>
        <w:rPr>
          <w:rFonts w:hint="eastAsia" w:ascii="仿宋_GB2312" w:eastAsia="仿宋_GB2312"/>
          <w:sz w:val="32"/>
          <w:szCs w:val="32"/>
        </w:rPr>
        <w:t>2. 大鼠于28－30日内以安乐死方式处死，剪下整个背部去毛区域的皮肤，小心剔除皮下脂肪，表面向内用O型橡胶圈固定于聚四氟乙烯管（内径约10mm,外径约16mm）的一端，沿边缘剪下多余的皮肤，制成直径约20mm的小皮片。每只大鼠的背部皮肤可制成约6－8块小皮片。</w:t>
      </w:r>
    </w:p>
    <w:p>
      <w:pPr>
        <w:pStyle w:val="19"/>
        <w:spacing w:line="360" w:lineRule="auto"/>
        <w:ind w:firstLine="640"/>
        <w:rPr>
          <w:rFonts w:ascii="仿宋_GB2312" w:eastAsia="仿宋_GB2312"/>
          <w:sz w:val="32"/>
          <w:szCs w:val="32"/>
        </w:rPr>
      </w:pPr>
      <w:r>
        <w:rPr>
          <w:rFonts w:hint="eastAsia" w:ascii="仿宋_GB2312" w:eastAsia="仿宋_GB2312"/>
          <w:sz w:val="32"/>
          <w:szCs w:val="32"/>
        </w:rPr>
        <w:t>3. 聚四氟乙烯管内加入1m</w:t>
      </w:r>
      <w:r>
        <w:rPr>
          <w:rFonts w:ascii="仿宋_GB2312" w:eastAsia="仿宋_GB2312"/>
          <w:sz w:val="32"/>
          <w:szCs w:val="32"/>
        </w:rPr>
        <w:t>l</w:t>
      </w:r>
      <w:r>
        <w:rPr>
          <w:rFonts w:hint="eastAsia" w:ascii="仿宋_GB2312" w:eastAsia="仿宋_GB2312"/>
          <w:sz w:val="32"/>
          <w:szCs w:val="32"/>
        </w:rPr>
        <w:t xml:space="preserve"> 154mmol/L硫酸镁溶液，将整个聚四氟乙烯管泡入装有154mmol/L硫酸镁溶液的容器中，在聚四氟乙烯管内外插入电极。用惠斯通电桥装置测试大鼠皮片的电阻值（TER值）。初始TER大于20kΩ的皮片可用，否则弃用皮片。筛选</w:t>
      </w:r>
      <w:r>
        <w:rPr>
          <w:rFonts w:ascii="仿宋_GB2312" w:eastAsia="仿宋_GB2312"/>
          <w:sz w:val="32"/>
          <w:szCs w:val="32"/>
        </w:rPr>
        <w:t>皮片后，</w:t>
      </w:r>
      <w:r>
        <w:rPr>
          <w:rFonts w:hint="eastAsia" w:ascii="仿宋_GB2312" w:eastAsia="仿宋_GB2312"/>
          <w:sz w:val="32"/>
          <w:szCs w:val="32"/>
        </w:rPr>
        <w:t>去除</w:t>
      </w:r>
      <w:r>
        <w:rPr>
          <w:rFonts w:ascii="仿宋_GB2312" w:eastAsia="仿宋_GB2312"/>
          <w:sz w:val="32"/>
          <w:szCs w:val="32"/>
        </w:rPr>
        <w:t>管内的硫酸镁溶液</w:t>
      </w:r>
      <w:r>
        <w:rPr>
          <w:rFonts w:hint="eastAsia" w:ascii="仿宋_GB2312" w:eastAsia="仿宋_GB2312"/>
          <w:sz w:val="32"/>
          <w:szCs w:val="32"/>
        </w:rPr>
        <w:t>，</w:t>
      </w:r>
      <w:r>
        <w:rPr>
          <w:rFonts w:ascii="仿宋_GB2312" w:eastAsia="仿宋_GB2312"/>
          <w:sz w:val="32"/>
          <w:szCs w:val="32"/>
        </w:rPr>
        <w:t>并以棉签轻轻擦干</w:t>
      </w:r>
      <w:r>
        <w:rPr>
          <w:rFonts w:hint="eastAsia" w:ascii="仿宋_GB2312" w:eastAsia="仿宋_GB2312"/>
          <w:sz w:val="32"/>
          <w:szCs w:val="32"/>
        </w:rPr>
        <w:t>皮片</w:t>
      </w:r>
      <w:r>
        <w:rPr>
          <w:rFonts w:ascii="仿宋_GB2312" w:eastAsia="仿宋_GB2312"/>
          <w:sz w:val="32"/>
          <w:szCs w:val="32"/>
        </w:rPr>
        <w:t>表面。</w:t>
      </w:r>
    </w:p>
    <w:p>
      <w:pPr>
        <w:pStyle w:val="19"/>
        <w:spacing w:line="360" w:lineRule="auto"/>
        <w:ind w:firstLine="640"/>
        <w:rPr>
          <w:rFonts w:ascii="仿宋_GB2312" w:eastAsia="仿宋_GB2312"/>
          <w:sz w:val="32"/>
          <w:szCs w:val="32"/>
        </w:rPr>
      </w:pPr>
      <w:r>
        <w:rPr>
          <w:rFonts w:hint="eastAsia" w:ascii="仿宋_GB2312" w:eastAsia="仿宋_GB2312"/>
          <w:sz w:val="32"/>
          <w:szCs w:val="32"/>
        </w:rPr>
        <w:t>4. 液体受试物150μ</w:t>
      </w:r>
      <w:r>
        <w:rPr>
          <w:rFonts w:ascii="仿宋_GB2312" w:eastAsia="仿宋_GB2312"/>
          <w:sz w:val="32"/>
          <w:szCs w:val="32"/>
        </w:rPr>
        <w:t>L</w:t>
      </w:r>
      <w:r>
        <w:rPr>
          <w:rFonts w:hint="eastAsia" w:ascii="仿宋_GB2312" w:eastAsia="仿宋_GB2312"/>
          <w:sz w:val="32"/>
          <w:szCs w:val="32"/>
        </w:rPr>
        <w:t>直接加入管内皮片的表皮面，固体受试物先研成细粉，取适量（</w:t>
      </w:r>
      <w:r>
        <w:rPr>
          <w:rFonts w:ascii="仿宋_GB2312" w:eastAsia="仿宋_GB2312"/>
          <w:sz w:val="32"/>
          <w:szCs w:val="32"/>
        </w:rPr>
        <w:t>约</w:t>
      </w:r>
      <w:r>
        <w:rPr>
          <w:rFonts w:hint="eastAsia" w:ascii="仿宋_GB2312" w:eastAsia="仿宋_GB2312"/>
          <w:sz w:val="32"/>
          <w:szCs w:val="32"/>
        </w:rPr>
        <w:t>150</w:t>
      </w:r>
      <w:r>
        <w:rPr>
          <w:rFonts w:ascii="仿宋_GB2312" w:eastAsia="仿宋_GB2312"/>
          <w:sz w:val="32"/>
          <w:szCs w:val="32"/>
        </w:rPr>
        <w:t>mg）</w:t>
      </w:r>
      <w:r>
        <w:rPr>
          <w:rFonts w:hint="eastAsia" w:ascii="仿宋_GB2312" w:eastAsia="仿宋_GB2312"/>
          <w:sz w:val="32"/>
          <w:szCs w:val="32"/>
        </w:rPr>
        <w:t>加入管内皮片表皮面并确保完全覆盖于表皮面上，然后加入150μ</w:t>
      </w:r>
      <w:r>
        <w:rPr>
          <w:rFonts w:ascii="仿宋_GB2312" w:eastAsia="仿宋_GB2312"/>
          <w:sz w:val="32"/>
          <w:szCs w:val="32"/>
        </w:rPr>
        <w:t>L</w:t>
      </w:r>
      <w:r>
        <w:rPr>
          <w:rFonts w:hint="eastAsia" w:ascii="仿宋_GB2312" w:eastAsia="仿宋_GB2312"/>
          <w:sz w:val="32"/>
          <w:szCs w:val="32"/>
        </w:rPr>
        <w:t>去离子水,轻轻晃动聚四氟乙烯管使之混合。每个样品设3个平行样，同时设阴性对照（去离子水）和阳性对照（10M HCl）。加样的皮片室温（20</w:t>
      </w:r>
      <w:r>
        <w:rPr>
          <w:rFonts w:ascii="仿宋_GB2312" w:eastAsia="仿宋_GB2312"/>
          <w:sz w:val="32"/>
          <w:szCs w:val="32"/>
        </w:rPr>
        <w:t>-23</w:t>
      </w:r>
      <w:r>
        <w:rPr>
          <w:rFonts w:hint="eastAsia" w:ascii="仿宋" w:hAnsi="仿宋" w:eastAsia="仿宋"/>
          <w:sz w:val="32"/>
          <w:szCs w:val="32"/>
        </w:rPr>
        <w:t>℃</w:t>
      </w:r>
      <w:r>
        <w:rPr>
          <w:rFonts w:hint="eastAsia" w:ascii="仿宋_GB2312" w:eastAsia="仿宋_GB2312"/>
          <w:sz w:val="32"/>
          <w:szCs w:val="32"/>
        </w:rPr>
        <w:t>）恒湿静置24h</w:t>
      </w:r>
      <w:r>
        <w:rPr>
          <w:rFonts w:ascii="仿宋_GB2312" w:eastAsia="仿宋_GB2312"/>
          <w:sz w:val="32"/>
          <w:szCs w:val="32"/>
        </w:rPr>
        <w:t>后</w:t>
      </w:r>
      <w:r>
        <w:rPr>
          <w:rFonts w:hint="eastAsia" w:ascii="仿宋_GB2312" w:eastAsia="仿宋_GB2312"/>
          <w:sz w:val="32"/>
          <w:szCs w:val="32"/>
        </w:rPr>
        <w:t>以流水轻柔地冲洗皮片以去除受试物，用</w:t>
      </w:r>
      <w:r>
        <w:rPr>
          <w:rFonts w:ascii="仿宋_GB2312" w:eastAsia="仿宋_GB2312"/>
          <w:sz w:val="32"/>
          <w:szCs w:val="32"/>
        </w:rPr>
        <w:t>洗瓶</w:t>
      </w:r>
      <w:r>
        <w:rPr>
          <w:rFonts w:hint="eastAsia" w:ascii="仿宋_GB2312" w:eastAsia="仿宋_GB2312"/>
          <w:sz w:val="32"/>
          <w:szCs w:val="32"/>
        </w:rPr>
        <w:t>向皮片表面滴加约1ml体积分数为70％的乙醇，边</w:t>
      </w:r>
      <w:r>
        <w:rPr>
          <w:rFonts w:ascii="仿宋_GB2312" w:eastAsia="仿宋_GB2312"/>
          <w:sz w:val="32"/>
          <w:szCs w:val="32"/>
        </w:rPr>
        <w:t>滴边</w:t>
      </w:r>
      <w:r>
        <w:rPr>
          <w:rFonts w:hint="eastAsia" w:ascii="仿宋_GB2312" w:eastAsia="仿宋_GB2312"/>
          <w:sz w:val="32"/>
          <w:szCs w:val="32"/>
        </w:rPr>
        <w:t>轻轻</w:t>
      </w:r>
      <w:r>
        <w:rPr>
          <w:rFonts w:ascii="仿宋_GB2312" w:eastAsia="仿宋_GB2312"/>
          <w:sz w:val="32"/>
          <w:szCs w:val="32"/>
        </w:rPr>
        <w:t>摇动聚四氟乙烯管，</w:t>
      </w:r>
      <w:r>
        <w:rPr>
          <w:rFonts w:hint="eastAsia" w:ascii="仿宋_GB2312" w:eastAsia="仿宋_GB2312"/>
          <w:sz w:val="32"/>
          <w:szCs w:val="32"/>
        </w:rPr>
        <w:t>5s后去除乙醇，再</w:t>
      </w:r>
      <w:r>
        <w:rPr>
          <w:rFonts w:ascii="仿宋_GB2312" w:eastAsia="仿宋_GB2312"/>
          <w:sz w:val="32"/>
          <w:szCs w:val="32"/>
        </w:rPr>
        <w:t>以流水清洗</w:t>
      </w:r>
      <w:r>
        <w:rPr>
          <w:rFonts w:hint="eastAsia" w:ascii="仿宋_GB2312" w:eastAsia="仿宋_GB2312"/>
          <w:sz w:val="32"/>
          <w:szCs w:val="32"/>
        </w:rPr>
        <w:t>。遇到难以</w:t>
      </w:r>
      <w:r>
        <w:rPr>
          <w:rFonts w:ascii="仿宋_GB2312" w:eastAsia="仿宋_GB2312"/>
          <w:sz w:val="32"/>
          <w:szCs w:val="32"/>
        </w:rPr>
        <w:t>冲洗</w:t>
      </w:r>
      <w:r>
        <w:rPr>
          <w:rFonts w:hint="eastAsia" w:ascii="仿宋_GB2312" w:eastAsia="仿宋_GB2312"/>
          <w:sz w:val="32"/>
          <w:szCs w:val="32"/>
        </w:rPr>
        <w:t>去除</w:t>
      </w:r>
      <w:r>
        <w:rPr>
          <w:rFonts w:ascii="仿宋_GB2312" w:eastAsia="仿宋_GB2312"/>
          <w:sz w:val="32"/>
          <w:szCs w:val="32"/>
        </w:rPr>
        <w:t>的物质，可重复几次，或用棉签轻轻</w:t>
      </w:r>
      <w:r>
        <w:rPr>
          <w:rFonts w:hint="eastAsia" w:ascii="仿宋_GB2312" w:eastAsia="仿宋_GB2312"/>
          <w:sz w:val="32"/>
          <w:szCs w:val="32"/>
        </w:rPr>
        <w:t>粘取皮片</w:t>
      </w:r>
      <w:r>
        <w:rPr>
          <w:rFonts w:ascii="仿宋_GB2312" w:eastAsia="仿宋_GB2312"/>
          <w:sz w:val="32"/>
          <w:szCs w:val="32"/>
        </w:rPr>
        <w:t>表面</w:t>
      </w:r>
      <w:r>
        <w:rPr>
          <w:rFonts w:hint="eastAsia" w:ascii="仿宋_GB2312" w:eastAsia="仿宋_GB2312"/>
          <w:sz w:val="32"/>
          <w:szCs w:val="32"/>
        </w:rPr>
        <w:t>残留</w:t>
      </w:r>
      <w:r>
        <w:rPr>
          <w:rFonts w:ascii="仿宋_GB2312" w:eastAsia="仿宋_GB2312"/>
          <w:sz w:val="32"/>
          <w:szCs w:val="32"/>
        </w:rPr>
        <w:t>受试物，注意不可损伤皮片。</w:t>
      </w:r>
      <w:r>
        <w:rPr>
          <w:rFonts w:hint="eastAsia" w:ascii="仿宋_GB2312" w:eastAsia="仿宋_GB2312"/>
          <w:sz w:val="32"/>
          <w:szCs w:val="32"/>
        </w:rPr>
        <w:t>最后加入1m</w:t>
      </w:r>
      <w:r>
        <w:rPr>
          <w:rFonts w:ascii="仿宋_GB2312" w:eastAsia="仿宋_GB2312"/>
          <w:sz w:val="32"/>
          <w:szCs w:val="32"/>
        </w:rPr>
        <w:t>L</w:t>
      </w:r>
      <w:r>
        <w:rPr>
          <w:rFonts w:hint="eastAsia" w:ascii="仿宋_GB2312" w:eastAsia="仿宋_GB2312"/>
          <w:sz w:val="32"/>
          <w:szCs w:val="32"/>
        </w:rPr>
        <w:t>硫酸镁溶液（154mmol／L），接上电极测定TER值。测过TER值后，去除管中的硫酸镁溶液，肉眼检查并纪录皮片的损伤情况。</w:t>
      </w:r>
    </w:p>
    <w:p>
      <w:pPr>
        <w:pStyle w:val="19"/>
        <w:spacing w:line="360" w:lineRule="auto"/>
        <w:ind w:firstLine="640"/>
        <w:rPr>
          <w:rFonts w:ascii="仿宋_GB2312" w:eastAsia="仿宋_GB2312"/>
          <w:sz w:val="32"/>
          <w:szCs w:val="32"/>
        </w:rPr>
      </w:pPr>
      <w:r>
        <w:rPr>
          <w:rFonts w:hint="eastAsia" w:ascii="仿宋_GB2312" w:eastAsia="仿宋_GB2312"/>
          <w:sz w:val="32"/>
          <w:szCs w:val="32"/>
        </w:rPr>
        <w:t>（三） 罗丹明B染色</w:t>
      </w:r>
    </w:p>
    <w:p>
      <w:pPr>
        <w:pStyle w:val="19"/>
        <w:spacing w:line="360" w:lineRule="auto"/>
        <w:ind w:firstLine="640"/>
        <w:rPr>
          <w:rFonts w:ascii="仿宋_GB2312" w:eastAsia="仿宋_GB2312"/>
          <w:sz w:val="32"/>
          <w:szCs w:val="32"/>
        </w:rPr>
      </w:pPr>
      <w:r>
        <w:rPr>
          <w:rFonts w:hint="eastAsia" w:ascii="仿宋_GB2312" w:eastAsia="仿宋_GB2312"/>
          <w:sz w:val="32"/>
          <w:szCs w:val="32"/>
        </w:rPr>
        <w:t>1. 当受试物TER值</w:t>
      </w:r>
      <w:r>
        <w:rPr>
          <w:rFonts w:hint="eastAsia" w:ascii="仿宋" w:hAnsi="仿宋" w:eastAsia="仿宋"/>
          <w:sz w:val="32"/>
          <w:szCs w:val="32"/>
        </w:rPr>
        <w:t>≤</w:t>
      </w:r>
      <w:r>
        <w:rPr>
          <w:rFonts w:hint="eastAsia" w:ascii="仿宋_GB2312" w:eastAsia="仿宋_GB2312"/>
          <w:sz w:val="32"/>
          <w:szCs w:val="32"/>
        </w:rPr>
        <w:t>15kΩ且</w:t>
      </w:r>
      <w:r>
        <w:rPr>
          <w:rFonts w:ascii="仿宋_GB2312" w:eastAsia="仿宋_GB2312"/>
          <w:sz w:val="32"/>
          <w:szCs w:val="32"/>
        </w:rPr>
        <w:t>肉眼观察皮肤无损伤，</w:t>
      </w:r>
      <w:r>
        <w:rPr>
          <w:rFonts w:hint="eastAsia" w:ascii="仿宋_GB2312" w:eastAsia="仿宋_GB2312"/>
          <w:sz w:val="32"/>
          <w:szCs w:val="32"/>
        </w:rPr>
        <w:t>或3个</w:t>
      </w:r>
      <w:r>
        <w:rPr>
          <w:rFonts w:ascii="仿宋_GB2312" w:eastAsia="仿宋_GB2312"/>
          <w:sz w:val="32"/>
          <w:szCs w:val="32"/>
        </w:rPr>
        <w:t>平行样的</w:t>
      </w:r>
      <w:r>
        <w:rPr>
          <w:rFonts w:hint="eastAsia" w:ascii="仿宋_GB2312" w:eastAsia="仿宋_GB2312"/>
          <w:sz w:val="32"/>
          <w:szCs w:val="32"/>
        </w:rPr>
        <w:t>TER值</w:t>
      </w:r>
      <w:r>
        <w:rPr>
          <w:rFonts w:ascii="仿宋_GB2312" w:eastAsia="仿宋_GB2312"/>
          <w:sz w:val="32"/>
          <w:szCs w:val="32"/>
        </w:rPr>
        <w:t>在</w:t>
      </w:r>
      <w:r>
        <w:rPr>
          <w:rFonts w:hint="eastAsia" w:ascii="仿宋_GB2312" w:eastAsia="仿宋_GB2312"/>
          <w:sz w:val="32"/>
          <w:szCs w:val="32"/>
        </w:rPr>
        <w:t>15kΩ上下</w:t>
      </w:r>
      <w:r>
        <w:rPr>
          <w:rFonts w:ascii="仿宋_GB2312" w:eastAsia="仿宋_GB2312"/>
          <w:sz w:val="32"/>
          <w:szCs w:val="32"/>
        </w:rPr>
        <w:t>浮动</w:t>
      </w:r>
      <w:r>
        <w:rPr>
          <w:rFonts w:hint="eastAsia" w:ascii="仿宋_GB2312" w:eastAsia="仿宋_GB2312"/>
          <w:sz w:val="32"/>
          <w:szCs w:val="32"/>
        </w:rPr>
        <w:t>的，或任何有可疑的情况，需进行罗丹明B染色进行进一步确认。如TER值</w:t>
      </w:r>
      <w:r>
        <w:rPr>
          <w:rFonts w:hint="eastAsia" w:ascii="仿宋" w:hAnsi="仿宋" w:eastAsia="仿宋"/>
          <w:sz w:val="32"/>
          <w:szCs w:val="32"/>
        </w:rPr>
        <w:t>≤</w:t>
      </w:r>
      <w:r>
        <w:rPr>
          <w:rFonts w:hint="eastAsia" w:ascii="仿宋_GB2312" w:eastAsia="仿宋_GB2312"/>
          <w:sz w:val="32"/>
          <w:szCs w:val="32"/>
        </w:rPr>
        <w:t>15kΩ，</w:t>
      </w:r>
      <w:r>
        <w:rPr>
          <w:rFonts w:ascii="仿宋_GB2312" w:eastAsia="仿宋_GB2312"/>
          <w:sz w:val="32"/>
          <w:szCs w:val="32"/>
        </w:rPr>
        <w:t>且</w:t>
      </w:r>
      <w:r>
        <w:rPr>
          <w:rFonts w:hint="eastAsia" w:ascii="仿宋_GB2312" w:eastAsia="仿宋_GB2312"/>
          <w:sz w:val="32"/>
          <w:szCs w:val="32"/>
        </w:rPr>
        <w:t>3个</w:t>
      </w:r>
      <w:r>
        <w:rPr>
          <w:rFonts w:ascii="仿宋_GB2312" w:eastAsia="仿宋_GB2312"/>
          <w:sz w:val="32"/>
          <w:szCs w:val="32"/>
        </w:rPr>
        <w:t>平行样中有肉眼可见损伤的皮片，</w:t>
      </w:r>
      <w:r>
        <w:rPr>
          <w:rFonts w:hint="eastAsia" w:ascii="仿宋_GB2312" w:eastAsia="仿宋_GB2312"/>
          <w:sz w:val="32"/>
          <w:szCs w:val="32"/>
        </w:rPr>
        <w:t>剩下</w:t>
      </w:r>
      <w:r>
        <w:rPr>
          <w:rFonts w:ascii="仿宋_GB2312" w:eastAsia="仿宋_GB2312"/>
          <w:sz w:val="32"/>
          <w:szCs w:val="32"/>
        </w:rPr>
        <w:t>的保存完好的皮片仍需进行罗丹明</w:t>
      </w:r>
      <w:r>
        <w:rPr>
          <w:rFonts w:hint="eastAsia" w:ascii="仿宋_GB2312" w:eastAsia="仿宋_GB2312"/>
          <w:sz w:val="32"/>
          <w:szCs w:val="32"/>
        </w:rPr>
        <w:t>B染色</w:t>
      </w:r>
      <w:r>
        <w:rPr>
          <w:rFonts w:ascii="仿宋_GB2312" w:eastAsia="仿宋_GB2312"/>
          <w:sz w:val="32"/>
          <w:szCs w:val="32"/>
        </w:rPr>
        <w:t>。</w:t>
      </w:r>
      <w:r>
        <w:rPr>
          <w:rFonts w:hint="eastAsia" w:ascii="仿宋_GB2312" w:eastAsia="仿宋_GB2312"/>
          <w:sz w:val="32"/>
          <w:szCs w:val="32"/>
        </w:rPr>
        <w:t>阳性对照和阴性对照均需进行罗丹明B染色。</w:t>
      </w:r>
    </w:p>
    <w:p>
      <w:pPr>
        <w:pStyle w:val="19"/>
        <w:spacing w:line="360" w:lineRule="auto"/>
        <w:ind w:firstLine="640"/>
        <w:rPr>
          <w:rFonts w:ascii="仿宋_GB2312" w:eastAsia="仿宋_GB2312"/>
          <w:sz w:val="32"/>
          <w:szCs w:val="32"/>
        </w:rPr>
      </w:pPr>
      <w:r>
        <w:rPr>
          <w:rFonts w:hint="eastAsia" w:ascii="仿宋_GB2312" w:eastAsia="仿宋_GB2312"/>
          <w:sz w:val="32"/>
          <w:szCs w:val="32"/>
        </w:rPr>
        <w:t>2. 向聚四氟乙烯管内</w:t>
      </w:r>
      <w:r>
        <w:rPr>
          <w:rFonts w:ascii="仿宋_GB2312" w:eastAsia="仿宋_GB2312"/>
          <w:sz w:val="32"/>
          <w:szCs w:val="32"/>
        </w:rPr>
        <w:t>皮片上表皮面</w:t>
      </w:r>
      <w:r>
        <w:rPr>
          <w:rFonts w:hint="eastAsia" w:ascii="仿宋_GB2312" w:eastAsia="仿宋_GB2312"/>
          <w:sz w:val="32"/>
          <w:szCs w:val="32"/>
        </w:rPr>
        <w:t>滴加150μ</w:t>
      </w:r>
      <w:r>
        <w:rPr>
          <w:rFonts w:ascii="仿宋_GB2312" w:eastAsia="仿宋_GB2312"/>
          <w:sz w:val="32"/>
          <w:szCs w:val="32"/>
        </w:rPr>
        <w:t xml:space="preserve">L </w:t>
      </w:r>
      <w:r>
        <w:rPr>
          <w:rFonts w:hint="eastAsia" w:ascii="仿宋_GB2312" w:eastAsia="仿宋_GB2312"/>
          <w:sz w:val="32"/>
          <w:szCs w:val="32"/>
        </w:rPr>
        <w:t>10％（</w:t>
      </w:r>
      <w:r>
        <w:rPr>
          <w:rFonts w:ascii="仿宋_GB2312" w:eastAsia="仿宋_GB2312"/>
          <w:sz w:val="32"/>
          <w:szCs w:val="32"/>
        </w:rPr>
        <w:t>w/v</w:t>
      </w:r>
      <w:r>
        <w:rPr>
          <w:rFonts w:hint="eastAsia" w:ascii="仿宋_GB2312" w:eastAsia="仿宋_GB2312"/>
          <w:sz w:val="32"/>
          <w:szCs w:val="32"/>
        </w:rPr>
        <w:t>）的罗丹明B（SRB）溶液，室温放置2h，以自来水冲洗皮片10s去除多余的SRB，小心的从管上取下皮片，放入含8m</w:t>
      </w:r>
      <w:r>
        <w:rPr>
          <w:rFonts w:ascii="仿宋_GB2312" w:eastAsia="仿宋_GB2312"/>
          <w:sz w:val="32"/>
          <w:szCs w:val="32"/>
        </w:rPr>
        <w:t>L</w:t>
      </w:r>
      <w:r>
        <w:rPr>
          <w:rFonts w:hint="eastAsia" w:ascii="仿宋_GB2312" w:eastAsia="仿宋_GB2312"/>
          <w:sz w:val="32"/>
          <w:szCs w:val="32"/>
        </w:rPr>
        <w:t>左右去离子水的容器中轻柔震荡5min，换干净的去离子水重复清洗1次，将皮片转移至5m</w:t>
      </w:r>
      <w:r>
        <w:rPr>
          <w:rFonts w:ascii="仿宋_GB2312" w:eastAsia="仿宋_GB2312"/>
          <w:sz w:val="32"/>
          <w:szCs w:val="32"/>
        </w:rPr>
        <w:t>L</w:t>
      </w:r>
      <w:r>
        <w:rPr>
          <w:rFonts w:hint="eastAsia" w:ascii="仿宋_GB2312" w:eastAsia="仿宋_GB2312"/>
          <w:sz w:val="32"/>
          <w:szCs w:val="32"/>
        </w:rPr>
        <w:t xml:space="preserve"> 30％的SDS溶液中，60℃水浴提取过夜，去除皮片，剩余提取液以1900</w:t>
      </w:r>
      <w:r>
        <w:rPr>
          <w:rFonts w:ascii="仿宋_GB2312" w:eastAsia="仿宋_GB2312"/>
          <w:sz w:val="32"/>
          <w:szCs w:val="32"/>
        </w:rPr>
        <w:t>rpm</w:t>
      </w:r>
      <w:r>
        <w:rPr>
          <w:rFonts w:hint="eastAsia" w:ascii="仿宋_GB2312" w:eastAsia="仿宋_GB2312"/>
          <w:sz w:val="32"/>
          <w:szCs w:val="32"/>
        </w:rPr>
        <w:t>离心8min，取上清液1m</w:t>
      </w:r>
      <w:r>
        <w:rPr>
          <w:rFonts w:ascii="仿宋_GB2312" w:eastAsia="仿宋_GB2312"/>
          <w:sz w:val="32"/>
          <w:szCs w:val="32"/>
        </w:rPr>
        <w:t>L</w:t>
      </w:r>
      <w:r>
        <w:rPr>
          <w:rFonts w:hint="eastAsia" w:ascii="仿宋_GB2312" w:eastAsia="仿宋_GB2312"/>
          <w:sz w:val="32"/>
          <w:szCs w:val="32"/>
        </w:rPr>
        <w:t>加30％ SDS溶液至5ml，测吸光值（λ＝565nm）。另做标准曲线（</w:t>
      </w:r>
      <w:r>
        <w:rPr>
          <w:rFonts w:ascii="仿宋_GB2312" w:eastAsia="仿宋_GB2312"/>
          <w:sz w:val="32"/>
          <w:szCs w:val="32"/>
        </w:rPr>
        <w:t>SRB-30% SDS</w:t>
      </w:r>
      <w:r>
        <w:rPr>
          <w:rFonts w:hint="eastAsia" w:ascii="仿宋_GB2312" w:eastAsia="仿宋_GB2312"/>
          <w:sz w:val="32"/>
          <w:szCs w:val="32"/>
        </w:rPr>
        <w:t>溶液</w:t>
      </w:r>
      <w:r>
        <w:rPr>
          <w:rFonts w:ascii="仿宋_GB2312" w:eastAsia="仿宋_GB2312"/>
          <w:sz w:val="32"/>
          <w:szCs w:val="32"/>
        </w:rPr>
        <w:t>浓度梯度曲线）</w:t>
      </w:r>
      <w:r>
        <w:rPr>
          <w:rFonts w:hint="eastAsia" w:ascii="仿宋_GB2312" w:eastAsia="仿宋_GB2312"/>
          <w:sz w:val="32"/>
          <w:szCs w:val="32"/>
        </w:rPr>
        <w:t>，根据</w:t>
      </w:r>
      <w:r>
        <w:rPr>
          <w:rFonts w:ascii="仿宋_GB2312" w:eastAsia="仿宋_GB2312"/>
          <w:sz w:val="32"/>
          <w:szCs w:val="32"/>
        </w:rPr>
        <w:t>标准曲线</w:t>
      </w:r>
      <w:r>
        <w:rPr>
          <w:rFonts w:hint="eastAsia" w:ascii="仿宋_GB2312" w:eastAsia="仿宋_GB2312"/>
          <w:sz w:val="32"/>
          <w:szCs w:val="32"/>
        </w:rPr>
        <w:t>计算每个皮片吸收的SRB的量（吸收量</w:t>
      </w:r>
      <w:r>
        <w:rPr>
          <w:rFonts w:ascii="仿宋_GB2312" w:eastAsia="仿宋_GB2312"/>
          <w:sz w:val="32"/>
          <w:szCs w:val="32"/>
        </w:rPr>
        <w:t>单位</w:t>
      </w:r>
      <w:r>
        <w:rPr>
          <w:rFonts w:hint="eastAsia" w:ascii="仿宋_GB2312" w:eastAsia="仿宋_GB2312"/>
          <w:sz w:val="32"/>
          <w:szCs w:val="32"/>
        </w:rPr>
        <w:t>μg</w:t>
      </w:r>
      <w:r>
        <w:rPr>
          <w:rFonts w:ascii="仿宋_GB2312" w:eastAsia="仿宋_GB2312"/>
          <w:sz w:val="32"/>
          <w:szCs w:val="32"/>
        </w:rPr>
        <w:t>/disc</w:t>
      </w:r>
      <w:r>
        <w:rPr>
          <w:rFonts w:hint="eastAsia" w:ascii="仿宋_GB2312" w:eastAsia="仿宋_GB2312"/>
          <w:sz w:val="32"/>
          <w:szCs w:val="32"/>
        </w:rPr>
        <w:t>，μg</w:t>
      </w:r>
      <w:r>
        <w:rPr>
          <w:rFonts w:ascii="仿宋_GB2312" w:eastAsia="仿宋_GB2312"/>
          <w:sz w:val="32"/>
          <w:szCs w:val="32"/>
        </w:rPr>
        <w:t>/</w:t>
      </w:r>
      <w:r>
        <w:rPr>
          <w:rFonts w:hint="eastAsia" w:ascii="仿宋_GB2312" w:eastAsia="仿宋_GB2312"/>
          <w:sz w:val="32"/>
          <w:szCs w:val="32"/>
        </w:rPr>
        <w:t>皮片）。</w:t>
      </w:r>
    </w:p>
    <w:p>
      <w:pPr>
        <w:pStyle w:val="19"/>
        <w:spacing w:line="360" w:lineRule="auto"/>
        <w:ind w:firstLine="643"/>
        <w:rPr>
          <w:rFonts w:ascii="仿宋_GB2312" w:eastAsia="仿宋_GB2312"/>
          <w:b/>
          <w:sz w:val="32"/>
          <w:szCs w:val="32"/>
        </w:rPr>
      </w:pPr>
      <w:r>
        <w:rPr>
          <w:rFonts w:hint="eastAsia" w:ascii="仿宋_GB2312" w:eastAsia="仿宋_GB2312"/>
          <w:b/>
          <w:sz w:val="32"/>
          <w:szCs w:val="32"/>
        </w:rPr>
        <w:t>七、结果评判标准</w:t>
      </w:r>
    </w:p>
    <w:p>
      <w:pPr>
        <w:pStyle w:val="19"/>
        <w:spacing w:line="360" w:lineRule="auto"/>
        <w:ind w:firstLine="640"/>
        <w:rPr>
          <w:rFonts w:ascii="仿宋_GB2312" w:eastAsia="仿宋_GB2312"/>
          <w:sz w:val="32"/>
          <w:szCs w:val="32"/>
        </w:rPr>
      </w:pPr>
      <w:r>
        <w:rPr>
          <w:rFonts w:hint="eastAsia" w:ascii="仿宋_GB2312" w:eastAsia="仿宋_GB2312"/>
          <w:sz w:val="32"/>
          <w:szCs w:val="32"/>
        </w:rPr>
        <w:t>当TER值大于15kΩ时，受试物无腐蚀性（NC）；当TER值小于5kΩ同时肉眼观察皮片</w:t>
      </w:r>
      <w:r>
        <w:rPr>
          <w:rFonts w:ascii="仿宋_GB2312" w:eastAsia="仿宋_GB2312"/>
          <w:sz w:val="32"/>
          <w:szCs w:val="32"/>
        </w:rPr>
        <w:t>有损伤</w:t>
      </w:r>
      <w:r>
        <w:rPr>
          <w:rFonts w:hint="eastAsia" w:ascii="仿宋_GB2312" w:eastAsia="仿宋_GB2312"/>
          <w:sz w:val="32"/>
          <w:szCs w:val="32"/>
        </w:rPr>
        <w:t>时，受试物</w:t>
      </w:r>
      <w:r>
        <w:rPr>
          <w:rFonts w:ascii="仿宋_GB2312" w:eastAsia="仿宋_GB2312"/>
          <w:sz w:val="32"/>
          <w:szCs w:val="32"/>
        </w:rPr>
        <w:t>有腐蚀性</w:t>
      </w:r>
      <w:r>
        <w:rPr>
          <w:rFonts w:hint="eastAsia" w:ascii="仿宋_GB2312" w:eastAsia="仿宋_GB2312"/>
          <w:sz w:val="32"/>
          <w:szCs w:val="32"/>
        </w:rPr>
        <w:t>（C）；当TER值</w:t>
      </w:r>
      <w:r>
        <w:rPr>
          <w:rFonts w:ascii="仿宋_GB2312" w:eastAsia="仿宋_GB2312"/>
          <w:sz w:val="32"/>
          <w:szCs w:val="32"/>
        </w:rPr>
        <w:t>小于</w:t>
      </w:r>
      <w:r>
        <w:rPr>
          <w:rFonts w:hint="eastAsia" w:ascii="仿宋_GB2312" w:eastAsia="仿宋_GB2312"/>
          <w:sz w:val="32"/>
          <w:szCs w:val="32"/>
        </w:rPr>
        <w:t>5kΩ且</w:t>
      </w:r>
      <w:r>
        <w:rPr>
          <w:rFonts w:ascii="仿宋_GB2312" w:eastAsia="仿宋_GB2312"/>
          <w:sz w:val="32"/>
          <w:szCs w:val="32"/>
        </w:rPr>
        <w:t>肉眼观察皮片无损伤，</w:t>
      </w:r>
      <w:r>
        <w:rPr>
          <w:rFonts w:hint="eastAsia" w:ascii="仿宋_GB2312" w:eastAsia="仿宋_GB2312"/>
          <w:sz w:val="32"/>
          <w:szCs w:val="32"/>
        </w:rPr>
        <w:t>或TER值</w:t>
      </w:r>
      <w:r>
        <w:rPr>
          <w:rFonts w:ascii="仿宋_GB2312" w:eastAsia="仿宋_GB2312"/>
          <w:sz w:val="32"/>
          <w:szCs w:val="32"/>
        </w:rPr>
        <w:t>介于</w:t>
      </w:r>
      <w:r>
        <w:rPr>
          <w:rFonts w:hint="eastAsia" w:ascii="仿宋_GB2312" w:eastAsia="仿宋_GB2312"/>
          <w:sz w:val="32"/>
          <w:szCs w:val="32"/>
        </w:rPr>
        <w:t>5</w:t>
      </w:r>
      <w:r>
        <w:rPr>
          <w:rFonts w:hint="eastAsia" w:ascii="仿宋" w:hAnsi="仿宋" w:eastAsia="仿宋"/>
          <w:sz w:val="32"/>
          <w:szCs w:val="32"/>
        </w:rPr>
        <w:t>～</w:t>
      </w:r>
      <w:r>
        <w:rPr>
          <w:rFonts w:ascii="仿宋_GB2312" w:eastAsia="仿宋_GB2312"/>
          <w:sz w:val="32"/>
          <w:szCs w:val="32"/>
        </w:rPr>
        <w:t>15</w:t>
      </w:r>
      <w:r>
        <w:rPr>
          <w:rFonts w:hint="eastAsia" w:ascii="仿宋_GB2312" w:eastAsia="仿宋_GB2312"/>
          <w:sz w:val="32"/>
          <w:szCs w:val="32"/>
        </w:rPr>
        <w:t>kΩ之间</w:t>
      </w:r>
      <w:r>
        <w:rPr>
          <w:rFonts w:ascii="仿宋_GB2312" w:eastAsia="仿宋_GB2312"/>
          <w:sz w:val="32"/>
          <w:szCs w:val="32"/>
        </w:rPr>
        <w:t>，或</w:t>
      </w:r>
      <w:r>
        <w:rPr>
          <w:rFonts w:hint="eastAsia" w:ascii="仿宋_GB2312" w:eastAsia="仿宋_GB2312"/>
          <w:sz w:val="32"/>
          <w:szCs w:val="32"/>
        </w:rPr>
        <w:t>3个</w:t>
      </w:r>
      <w:r>
        <w:rPr>
          <w:rFonts w:ascii="仿宋_GB2312" w:eastAsia="仿宋_GB2312"/>
          <w:sz w:val="32"/>
          <w:szCs w:val="32"/>
        </w:rPr>
        <w:t>平行样的</w:t>
      </w:r>
      <w:r>
        <w:rPr>
          <w:rFonts w:hint="eastAsia" w:ascii="仿宋_GB2312" w:eastAsia="仿宋_GB2312"/>
          <w:sz w:val="32"/>
          <w:szCs w:val="32"/>
        </w:rPr>
        <w:t>TER值上下波动</w:t>
      </w:r>
      <w:r>
        <w:rPr>
          <w:rFonts w:ascii="仿宋_GB2312" w:eastAsia="仿宋_GB2312"/>
          <w:sz w:val="32"/>
          <w:szCs w:val="32"/>
        </w:rPr>
        <w:t>，或有其他任何</w:t>
      </w:r>
      <w:r>
        <w:rPr>
          <w:rFonts w:hint="eastAsia" w:ascii="仿宋_GB2312" w:eastAsia="仿宋_GB2312"/>
          <w:sz w:val="32"/>
          <w:szCs w:val="32"/>
        </w:rPr>
        <w:t>可疑现象</w:t>
      </w:r>
      <w:r>
        <w:rPr>
          <w:rFonts w:ascii="仿宋_GB2312" w:eastAsia="仿宋_GB2312"/>
          <w:sz w:val="32"/>
          <w:szCs w:val="32"/>
        </w:rPr>
        <w:t>时，均</w:t>
      </w:r>
      <w:r>
        <w:rPr>
          <w:rFonts w:hint="eastAsia" w:ascii="仿宋_GB2312" w:eastAsia="仿宋_GB2312"/>
          <w:sz w:val="32"/>
          <w:szCs w:val="32"/>
        </w:rPr>
        <w:t>需</w:t>
      </w:r>
      <w:r>
        <w:rPr>
          <w:rFonts w:ascii="仿宋_GB2312" w:eastAsia="仿宋_GB2312"/>
          <w:sz w:val="32"/>
          <w:szCs w:val="32"/>
        </w:rPr>
        <w:t>进行罗丹明</w:t>
      </w:r>
      <w:r>
        <w:rPr>
          <w:rFonts w:hint="eastAsia" w:ascii="仿宋_GB2312" w:eastAsia="仿宋_GB2312"/>
          <w:sz w:val="32"/>
          <w:szCs w:val="32"/>
        </w:rPr>
        <w:t>B染色</w:t>
      </w:r>
      <w:r>
        <w:rPr>
          <w:rFonts w:ascii="仿宋_GB2312" w:eastAsia="仿宋_GB2312"/>
          <w:sz w:val="32"/>
          <w:szCs w:val="32"/>
        </w:rPr>
        <w:t>，进行进一步确认</w:t>
      </w:r>
      <w:r>
        <w:rPr>
          <w:rFonts w:hint="eastAsia" w:ascii="仿宋_GB2312" w:eastAsia="仿宋_GB2312"/>
          <w:sz w:val="32"/>
          <w:szCs w:val="32"/>
        </w:rPr>
        <w:t>。罗丹明B染色</w:t>
      </w:r>
      <w:r>
        <w:rPr>
          <w:rFonts w:ascii="仿宋_GB2312" w:eastAsia="仿宋_GB2312"/>
          <w:sz w:val="32"/>
          <w:szCs w:val="32"/>
        </w:rPr>
        <w:t>后，当受试物</w:t>
      </w:r>
      <w:r>
        <w:rPr>
          <w:rFonts w:hint="eastAsia" w:ascii="仿宋_GB2312" w:eastAsia="仿宋_GB2312"/>
          <w:sz w:val="32"/>
          <w:szCs w:val="32"/>
        </w:rPr>
        <w:t>染料吸收量小于阳性对照时，受试物无腐蚀性（NC），染料吸收量大于等于阳性对照时，受试物有腐蚀性（C）。如</w:t>
      </w:r>
      <w:r>
        <w:rPr>
          <w:rFonts w:ascii="仿宋_GB2312" w:eastAsia="仿宋_GB2312"/>
          <w:sz w:val="32"/>
          <w:szCs w:val="32"/>
        </w:rPr>
        <w:t>结果无法判定，可重复试验或使用其他方法</w:t>
      </w:r>
      <w:r>
        <w:rPr>
          <w:rFonts w:hint="eastAsia" w:ascii="仿宋_GB2312" w:eastAsia="仿宋_GB2312"/>
          <w:sz w:val="32"/>
          <w:szCs w:val="32"/>
        </w:rPr>
        <w:t>澄清</w:t>
      </w:r>
      <w:r>
        <w:rPr>
          <w:rFonts w:ascii="仿宋_GB2312" w:eastAsia="仿宋_GB2312"/>
          <w:sz w:val="32"/>
          <w:szCs w:val="32"/>
        </w:rPr>
        <w:t>可疑结果。</w:t>
      </w:r>
      <w:r>
        <w:rPr>
          <w:rFonts w:hint="eastAsia" w:ascii="仿宋_GB2312" w:eastAsia="仿宋_GB2312"/>
          <w:sz w:val="32"/>
          <w:szCs w:val="32"/>
        </w:rPr>
        <w:t>阴性</w:t>
      </w:r>
      <w:r>
        <w:rPr>
          <w:rFonts w:ascii="仿宋_GB2312" w:eastAsia="仿宋_GB2312"/>
          <w:sz w:val="32"/>
          <w:szCs w:val="32"/>
        </w:rPr>
        <w:t>对照及阳性对照的结果应满足如下范围：</w:t>
      </w:r>
    </w:p>
    <w:tbl>
      <w:tblPr>
        <w:tblStyle w:val="11"/>
        <w:tblW w:w="73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28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285" w:type="dxa"/>
          </w:tcPr>
          <w:p>
            <w:pPr>
              <w:pStyle w:val="19"/>
              <w:widowControl w:val="0"/>
              <w:ind w:firstLine="0" w:firstLineChars="0"/>
              <w:jc w:val="center"/>
              <w:rPr>
                <w:rStyle w:val="31"/>
                <w:rFonts w:ascii="仿宋_GB2312" w:eastAsia="仿宋_GB2312"/>
                <w:b/>
                <w:sz w:val="24"/>
                <w:szCs w:val="24"/>
              </w:rPr>
            </w:pPr>
            <w:r>
              <w:rPr>
                <w:rStyle w:val="31"/>
                <w:rFonts w:hint="eastAsia" w:ascii="仿宋_GB2312" w:eastAsia="仿宋_GB2312"/>
                <w:b/>
                <w:sz w:val="24"/>
                <w:szCs w:val="24"/>
              </w:rPr>
              <w:t>组别</w:t>
            </w:r>
          </w:p>
        </w:tc>
        <w:tc>
          <w:tcPr>
            <w:tcW w:w="2285" w:type="dxa"/>
          </w:tcPr>
          <w:p>
            <w:pPr>
              <w:pStyle w:val="19"/>
              <w:widowControl w:val="0"/>
              <w:ind w:firstLine="0" w:firstLineChars="0"/>
              <w:jc w:val="center"/>
              <w:rPr>
                <w:rStyle w:val="31"/>
                <w:rFonts w:ascii="仿宋_GB2312" w:eastAsia="仿宋_GB2312"/>
                <w:b/>
                <w:sz w:val="24"/>
                <w:szCs w:val="24"/>
              </w:rPr>
            </w:pPr>
            <w:r>
              <w:rPr>
                <w:rStyle w:val="31"/>
                <w:rFonts w:hint="eastAsia" w:ascii="仿宋_GB2312" w:eastAsia="仿宋_GB2312"/>
                <w:b/>
                <w:sz w:val="24"/>
                <w:szCs w:val="24"/>
              </w:rPr>
              <w:t>TER值</w:t>
            </w:r>
            <w:r>
              <w:rPr>
                <w:rStyle w:val="31"/>
                <w:rFonts w:ascii="仿宋_GB2312" w:eastAsia="仿宋_GB2312"/>
                <w:b/>
                <w:sz w:val="24"/>
                <w:szCs w:val="24"/>
              </w:rPr>
              <w:t>（kΩ）</w:t>
            </w:r>
          </w:p>
        </w:tc>
        <w:tc>
          <w:tcPr>
            <w:tcW w:w="2796" w:type="dxa"/>
          </w:tcPr>
          <w:p>
            <w:pPr>
              <w:pStyle w:val="19"/>
              <w:widowControl w:val="0"/>
              <w:ind w:firstLine="0" w:firstLineChars="0"/>
              <w:jc w:val="center"/>
              <w:rPr>
                <w:rStyle w:val="31"/>
                <w:rFonts w:ascii="仿宋_GB2312" w:eastAsia="仿宋_GB2312"/>
                <w:b/>
                <w:sz w:val="24"/>
                <w:szCs w:val="24"/>
              </w:rPr>
            </w:pPr>
            <w:r>
              <w:rPr>
                <w:rStyle w:val="31"/>
                <w:rFonts w:ascii="仿宋_GB2312" w:eastAsia="仿宋_GB2312"/>
                <w:b/>
                <w:sz w:val="24"/>
                <w:szCs w:val="24"/>
              </w:rPr>
              <w:t>SRB吸收量</w:t>
            </w:r>
            <w:r>
              <w:rPr>
                <w:rStyle w:val="31"/>
                <w:rFonts w:hint="eastAsia" w:ascii="仿宋_GB2312" w:eastAsia="仿宋_GB2312"/>
                <w:b/>
                <w:sz w:val="24"/>
                <w:szCs w:val="24"/>
              </w:rPr>
              <w:t>（μ</w:t>
            </w:r>
            <w:r>
              <w:rPr>
                <w:rStyle w:val="31"/>
                <w:rFonts w:ascii="仿宋_GB2312" w:eastAsia="仿宋_GB2312"/>
                <w:b/>
                <w:sz w:val="24"/>
                <w:szCs w:val="24"/>
              </w:rPr>
              <w:t>g/disc</w:t>
            </w:r>
            <w:r>
              <w:rPr>
                <w:rStyle w:val="31"/>
                <w:rFonts w:hint="eastAsia" w:ascii="仿宋_GB2312"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285" w:type="dxa"/>
          </w:tcPr>
          <w:p>
            <w:pPr>
              <w:pStyle w:val="19"/>
              <w:widowControl w:val="0"/>
              <w:ind w:firstLine="0" w:firstLineChars="0"/>
              <w:jc w:val="center"/>
              <w:rPr>
                <w:rStyle w:val="31"/>
                <w:rFonts w:ascii="仿宋_GB2312" w:eastAsia="仿宋_GB2312"/>
                <w:sz w:val="24"/>
                <w:szCs w:val="24"/>
              </w:rPr>
            </w:pPr>
            <w:r>
              <w:rPr>
                <w:rStyle w:val="31"/>
                <w:rFonts w:hint="eastAsia" w:ascii="仿宋_GB2312" w:eastAsia="仿宋_GB2312"/>
                <w:sz w:val="24"/>
                <w:szCs w:val="24"/>
              </w:rPr>
              <w:t>阳性</w:t>
            </w:r>
            <w:r>
              <w:rPr>
                <w:rStyle w:val="31"/>
                <w:rFonts w:ascii="仿宋_GB2312" w:eastAsia="仿宋_GB2312"/>
                <w:sz w:val="24"/>
                <w:szCs w:val="24"/>
              </w:rPr>
              <w:t>对照：</w:t>
            </w:r>
            <w:r>
              <w:rPr>
                <w:rStyle w:val="31"/>
                <w:rFonts w:hint="eastAsia" w:ascii="仿宋_GB2312" w:eastAsia="仿宋_GB2312"/>
                <w:sz w:val="24"/>
                <w:szCs w:val="24"/>
              </w:rPr>
              <w:t>10M HC</w:t>
            </w:r>
            <w:r>
              <w:rPr>
                <w:rStyle w:val="31"/>
                <w:rFonts w:ascii="仿宋_GB2312" w:eastAsia="仿宋_GB2312"/>
                <w:sz w:val="24"/>
                <w:szCs w:val="24"/>
              </w:rPr>
              <w:t>l</w:t>
            </w:r>
          </w:p>
        </w:tc>
        <w:tc>
          <w:tcPr>
            <w:tcW w:w="2285" w:type="dxa"/>
          </w:tcPr>
          <w:p>
            <w:pPr>
              <w:pStyle w:val="19"/>
              <w:widowControl w:val="0"/>
              <w:ind w:firstLine="0" w:firstLineChars="0"/>
              <w:jc w:val="center"/>
              <w:rPr>
                <w:rStyle w:val="31"/>
                <w:rFonts w:ascii="仿宋_GB2312" w:eastAsia="仿宋_GB2312"/>
                <w:sz w:val="24"/>
                <w:szCs w:val="24"/>
              </w:rPr>
            </w:pPr>
            <w:r>
              <w:rPr>
                <w:rStyle w:val="31"/>
                <w:rFonts w:hint="eastAsia" w:ascii="仿宋_GB2312" w:eastAsia="仿宋_GB2312"/>
                <w:sz w:val="24"/>
                <w:szCs w:val="24"/>
              </w:rPr>
              <w:t>0.5-1.0</w:t>
            </w:r>
          </w:p>
        </w:tc>
        <w:tc>
          <w:tcPr>
            <w:tcW w:w="2796" w:type="dxa"/>
          </w:tcPr>
          <w:p>
            <w:pPr>
              <w:pStyle w:val="19"/>
              <w:widowControl w:val="0"/>
              <w:ind w:firstLine="0" w:firstLineChars="0"/>
              <w:jc w:val="center"/>
              <w:rPr>
                <w:rStyle w:val="31"/>
                <w:rFonts w:ascii="仿宋_GB2312" w:eastAsia="仿宋_GB2312"/>
                <w:sz w:val="24"/>
                <w:szCs w:val="24"/>
              </w:rPr>
            </w:pPr>
            <w:r>
              <w:rPr>
                <w:rStyle w:val="31"/>
                <w:rFonts w:hint="eastAsia" w:ascii="仿宋_GB2312" w:eastAsia="仿宋_GB2312"/>
                <w:sz w:val="24"/>
                <w:szCs w:val="24"/>
              </w:rPr>
              <w:t>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285" w:type="dxa"/>
          </w:tcPr>
          <w:p>
            <w:pPr>
              <w:pStyle w:val="19"/>
              <w:widowControl w:val="0"/>
              <w:ind w:firstLine="0" w:firstLineChars="0"/>
              <w:jc w:val="center"/>
              <w:rPr>
                <w:rStyle w:val="31"/>
                <w:rFonts w:ascii="仿宋_GB2312" w:eastAsia="仿宋_GB2312"/>
                <w:sz w:val="24"/>
                <w:szCs w:val="24"/>
              </w:rPr>
            </w:pPr>
            <w:r>
              <w:rPr>
                <w:rStyle w:val="31"/>
                <w:rFonts w:hint="eastAsia" w:ascii="仿宋_GB2312" w:eastAsia="仿宋_GB2312"/>
                <w:sz w:val="24"/>
                <w:szCs w:val="24"/>
              </w:rPr>
              <w:t>阴性</w:t>
            </w:r>
            <w:r>
              <w:rPr>
                <w:rStyle w:val="31"/>
                <w:rFonts w:ascii="仿宋_GB2312" w:eastAsia="仿宋_GB2312"/>
                <w:sz w:val="24"/>
                <w:szCs w:val="24"/>
              </w:rPr>
              <w:t>对照：蒸馏水</w:t>
            </w:r>
          </w:p>
        </w:tc>
        <w:tc>
          <w:tcPr>
            <w:tcW w:w="2285" w:type="dxa"/>
          </w:tcPr>
          <w:p>
            <w:pPr>
              <w:pStyle w:val="19"/>
              <w:widowControl w:val="0"/>
              <w:ind w:firstLine="0" w:firstLineChars="0"/>
              <w:jc w:val="center"/>
              <w:rPr>
                <w:rStyle w:val="31"/>
                <w:rFonts w:ascii="仿宋_GB2312" w:eastAsia="仿宋_GB2312"/>
                <w:sz w:val="24"/>
                <w:szCs w:val="24"/>
              </w:rPr>
            </w:pPr>
            <w:r>
              <w:rPr>
                <w:rStyle w:val="31"/>
                <w:rFonts w:hint="eastAsia" w:ascii="仿宋_GB2312" w:eastAsia="仿宋_GB2312"/>
                <w:sz w:val="24"/>
                <w:szCs w:val="24"/>
              </w:rPr>
              <w:t>10-25</w:t>
            </w:r>
          </w:p>
        </w:tc>
        <w:tc>
          <w:tcPr>
            <w:tcW w:w="2796" w:type="dxa"/>
          </w:tcPr>
          <w:p>
            <w:pPr>
              <w:pStyle w:val="19"/>
              <w:widowControl w:val="0"/>
              <w:ind w:firstLine="0" w:firstLineChars="0"/>
              <w:jc w:val="center"/>
              <w:rPr>
                <w:rStyle w:val="31"/>
                <w:rFonts w:ascii="仿宋_GB2312" w:eastAsia="仿宋_GB2312"/>
                <w:sz w:val="24"/>
                <w:szCs w:val="24"/>
              </w:rPr>
            </w:pPr>
            <w:r>
              <w:rPr>
                <w:rStyle w:val="31"/>
                <w:rFonts w:hint="eastAsia" w:ascii="仿宋_GB2312" w:eastAsia="仿宋_GB2312"/>
                <w:sz w:val="24"/>
                <w:szCs w:val="24"/>
              </w:rPr>
              <w:t>15-35</w:t>
            </w:r>
          </w:p>
        </w:tc>
      </w:tr>
    </w:tbl>
    <w:p>
      <w:pPr>
        <w:pStyle w:val="19"/>
        <w:spacing w:line="360" w:lineRule="auto"/>
        <w:ind w:firstLine="0" w:firstLineChars="0"/>
        <w:rPr>
          <w:rStyle w:val="31"/>
          <w:rFonts w:ascii="仿宋_GB2312" w:eastAsia="仿宋_GB2312"/>
          <w:sz w:val="32"/>
          <w:szCs w:val="32"/>
        </w:rPr>
      </w:pPr>
      <w:r>
        <w:rPr>
          <w:rStyle w:val="31"/>
          <w:rFonts w:ascii="仿宋_GB2312" w:eastAsia="仿宋_GB2312"/>
          <w:sz w:val="32"/>
          <w:szCs w:val="32"/>
        </w:rPr>
        <w:br w:type="page"/>
      </w:r>
    </w:p>
    <w:p>
      <w:pPr>
        <w:widowControl/>
        <w:spacing w:line="360" w:lineRule="auto"/>
        <w:ind w:left="1065" w:leftChars="1" w:hanging="1063" w:hangingChars="294"/>
        <w:jc w:val="center"/>
        <w:rPr>
          <w:rFonts w:hint="eastAsia" w:ascii="宋体" w:hAnsi="宋体" w:cs="宋体"/>
          <w:b/>
          <w:color w:val="000000"/>
          <w:kern w:val="0"/>
          <w:sz w:val="36"/>
          <w:szCs w:val="36"/>
        </w:rPr>
      </w:pPr>
      <w:r>
        <w:rPr>
          <w:rFonts w:hint="eastAsia" w:ascii="宋体" w:hAnsi="宋体" w:cs="宋体"/>
          <w:b/>
          <w:color w:val="000000"/>
          <w:kern w:val="0"/>
          <w:sz w:val="36"/>
          <w:szCs w:val="36"/>
        </w:rPr>
        <w:t>《化妆品用化学原料皮肤腐蚀性大鼠经皮电阻试验方法》</w:t>
      </w:r>
    </w:p>
    <w:p>
      <w:pPr>
        <w:widowControl/>
        <w:spacing w:line="360" w:lineRule="auto"/>
        <w:ind w:left="1065" w:leftChars="1" w:hanging="1063" w:hangingChars="294"/>
        <w:jc w:val="center"/>
        <w:rPr>
          <w:rFonts w:hint="eastAsia" w:ascii="宋体" w:hAnsi="宋体" w:cs="宋体"/>
          <w:b/>
          <w:color w:val="000000"/>
          <w:kern w:val="0"/>
          <w:sz w:val="36"/>
          <w:szCs w:val="36"/>
        </w:rPr>
      </w:pPr>
      <w:r>
        <w:rPr>
          <w:rFonts w:hint="eastAsia" w:ascii="宋体" w:hAnsi="宋体" w:cs="宋体"/>
          <w:b/>
          <w:color w:val="000000"/>
          <w:kern w:val="0"/>
          <w:sz w:val="36"/>
          <w:szCs w:val="36"/>
        </w:rPr>
        <w:t>编制说明</w:t>
      </w:r>
      <w:bookmarkStart w:id="4" w:name="_GoBack"/>
      <w:bookmarkEnd w:id="4"/>
    </w:p>
    <w:p>
      <w:pPr>
        <w:pStyle w:val="2"/>
        <w:spacing w:line="400" w:lineRule="exact"/>
        <w:rPr>
          <w:rFonts w:ascii="Times New Roman" w:hAnsi="Times New Roman"/>
          <w:sz w:val="28"/>
          <w:szCs w:val="28"/>
        </w:rPr>
      </w:pPr>
      <w:r>
        <w:rPr>
          <w:rFonts w:ascii="Times New Roman" w:hAnsi="Times New Roman"/>
          <w:sz w:val="28"/>
          <w:szCs w:val="28"/>
        </w:rPr>
        <w:t>一、编制原则</w:t>
      </w:r>
    </w:p>
    <w:p>
      <w:pPr>
        <w:pStyle w:val="19"/>
        <w:spacing w:line="400" w:lineRule="exact"/>
        <w:ind w:firstLine="480"/>
        <w:rPr>
          <w:rFonts w:ascii="Times New Roman"/>
          <w:sz w:val="24"/>
          <w:szCs w:val="24"/>
        </w:rPr>
      </w:pPr>
      <w:r>
        <w:rPr>
          <w:rFonts w:ascii="Times New Roman" w:hAnsi="宋体"/>
          <w:sz w:val="24"/>
          <w:szCs w:val="24"/>
        </w:rPr>
        <w:t>本方法由国家食品药品监督管理</w:t>
      </w:r>
      <w:r>
        <w:rPr>
          <w:rFonts w:hint="eastAsia" w:ascii="Times New Roman" w:hAnsi="宋体"/>
          <w:sz w:val="24"/>
          <w:szCs w:val="24"/>
        </w:rPr>
        <w:t>总</w:t>
      </w:r>
      <w:r>
        <w:rPr>
          <w:rFonts w:ascii="Times New Roman" w:hAnsi="宋体"/>
          <w:sz w:val="24"/>
          <w:szCs w:val="24"/>
        </w:rPr>
        <w:t>局提出，由</w:t>
      </w:r>
      <w:r>
        <w:rPr>
          <w:rFonts w:hint="eastAsia" w:ascii="Times New Roman" w:hAnsi="宋体"/>
          <w:sz w:val="24"/>
          <w:szCs w:val="24"/>
        </w:rPr>
        <w:t>中国食品药品检定研究院</w:t>
      </w:r>
      <w:r>
        <w:rPr>
          <w:rFonts w:ascii="Times New Roman" w:hAnsi="宋体"/>
          <w:sz w:val="24"/>
          <w:szCs w:val="24"/>
        </w:rPr>
        <w:t>食品化妆品检定所承担并完成编制。</w:t>
      </w:r>
    </w:p>
    <w:p>
      <w:pPr>
        <w:pStyle w:val="19"/>
        <w:spacing w:line="400" w:lineRule="exact"/>
        <w:ind w:firstLine="480"/>
        <w:rPr>
          <w:rFonts w:ascii="Times New Roman"/>
          <w:sz w:val="24"/>
          <w:szCs w:val="24"/>
        </w:rPr>
      </w:pPr>
      <w:r>
        <w:rPr>
          <w:rFonts w:ascii="Times New Roman" w:hAnsi="宋体"/>
          <w:sz w:val="24"/>
          <w:szCs w:val="24"/>
        </w:rPr>
        <w:t>本方法</w:t>
      </w:r>
      <w:r>
        <w:rPr>
          <w:rFonts w:hint="eastAsia" w:ascii="Times New Roman" w:hAnsi="宋体"/>
          <w:sz w:val="24"/>
          <w:szCs w:val="24"/>
        </w:rPr>
        <w:t>的</w:t>
      </w:r>
      <w:r>
        <w:rPr>
          <w:rFonts w:ascii="Times New Roman" w:hAnsi="宋体"/>
          <w:sz w:val="24"/>
          <w:szCs w:val="24"/>
        </w:rPr>
        <w:t>编制本着客观、易行、针对性强等原则。</w:t>
      </w:r>
      <w:r>
        <w:rPr>
          <w:rFonts w:hint="eastAsia" w:ascii="Times New Roman" w:hAnsi="宋体"/>
          <w:sz w:val="24"/>
          <w:szCs w:val="24"/>
        </w:rPr>
        <w:t>经过</w:t>
      </w:r>
      <w:r>
        <w:rPr>
          <w:rFonts w:ascii="Times New Roman" w:hAnsi="宋体"/>
          <w:sz w:val="24"/>
          <w:szCs w:val="24"/>
        </w:rPr>
        <w:t>包括拟定课题研究内容</w:t>
      </w:r>
      <w:r>
        <w:rPr>
          <w:rFonts w:hint="eastAsia" w:ascii="Times New Roman" w:hAnsi="宋体"/>
          <w:sz w:val="24"/>
          <w:szCs w:val="24"/>
        </w:rPr>
        <w:t>、研发检测大鼠经皮电阻值</w:t>
      </w:r>
      <w:r>
        <w:rPr>
          <w:rFonts w:ascii="Times New Roman" w:hAnsi="宋体"/>
          <w:sz w:val="24"/>
          <w:szCs w:val="24"/>
        </w:rPr>
        <w:t>的</w:t>
      </w:r>
      <w:r>
        <w:rPr>
          <w:rFonts w:hint="eastAsia" w:ascii="Times New Roman" w:hAnsi="宋体"/>
          <w:sz w:val="24"/>
          <w:szCs w:val="24"/>
        </w:rPr>
        <w:t>仪器</w:t>
      </w:r>
      <w:r>
        <w:rPr>
          <w:rFonts w:ascii="Times New Roman" w:hAnsi="宋体"/>
          <w:sz w:val="24"/>
          <w:szCs w:val="24"/>
        </w:rPr>
        <w:t>设备</w:t>
      </w:r>
      <w:r>
        <w:rPr>
          <w:rFonts w:hint="eastAsia" w:ascii="Times New Roman" w:hAnsi="宋体"/>
          <w:sz w:val="24"/>
          <w:szCs w:val="24"/>
        </w:rPr>
        <w:t>、</w:t>
      </w:r>
      <w:r>
        <w:rPr>
          <w:rFonts w:ascii="Times New Roman" w:hAnsi="宋体"/>
          <w:sz w:val="24"/>
          <w:szCs w:val="24"/>
        </w:rPr>
        <w:t>建立</w:t>
      </w:r>
      <w:r>
        <w:rPr>
          <w:rFonts w:hint="eastAsia" w:ascii="Times New Roman"/>
          <w:sz w:val="24"/>
          <w:szCs w:val="24"/>
        </w:rPr>
        <w:t>皮肤腐蚀性大鼠经皮电阻</w:t>
      </w:r>
      <w:r>
        <w:rPr>
          <w:rFonts w:ascii="Times New Roman" w:hAnsi="宋体"/>
          <w:sz w:val="24"/>
          <w:szCs w:val="24"/>
        </w:rPr>
        <w:t>试验方法并优化实验条件</w:t>
      </w:r>
      <w:r>
        <w:rPr>
          <w:rFonts w:hint="eastAsia" w:ascii="Times New Roman" w:hAnsi="宋体"/>
          <w:sz w:val="24"/>
          <w:szCs w:val="24"/>
        </w:rPr>
        <w:t>、</w:t>
      </w:r>
      <w:r>
        <w:rPr>
          <w:rFonts w:ascii="Times New Roman" w:hAnsi="宋体"/>
          <w:sz w:val="24"/>
          <w:szCs w:val="24"/>
        </w:rPr>
        <w:t>对试验方法进行实验室内验证</w:t>
      </w:r>
      <w:r>
        <w:rPr>
          <w:rFonts w:hint="eastAsia" w:ascii="Times New Roman" w:hAnsi="宋体"/>
          <w:sz w:val="24"/>
          <w:szCs w:val="24"/>
        </w:rPr>
        <w:t>、</w:t>
      </w:r>
      <w:r>
        <w:rPr>
          <w:rFonts w:ascii="Times New Roman" w:hAnsi="宋体"/>
          <w:sz w:val="24"/>
          <w:szCs w:val="24"/>
        </w:rPr>
        <w:t>与我国现行的整体动物试验方法比较</w:t>
      </w:r>
      <w:r>
        <w:rPr>
          <w:rFonts w:hint="eastAsia" w:ascii="Times New Roman" w:hAnsi="宋体"/>
          <w:sz w:val="24"/>
          <w:szCs w:val="24"/>
        </w:rPr>
        <w:t>、</w:t>
      </w:r>
      <w:r>
        <w:rPr>
          <w:rFonts w:ascii="Times New Roman" w:hAnsi="宋体"/>
          <w:sz w:val="24"/>
          <w:szCs w:val="24"/>
        </w:rPr>
        <w:t>征求专家意见</w:t>
      </w:r>
      <w:r>
        <w:rPr>
          <w:rFonts w:hint="eastAsia" w:ascii="Times New Roman" w:hAnsi="宋体"/>
          <w:sz w:val="24"/>
          <w:szCs w:val="24"/>
        </w:rPr>
        <w:t>、</w:t>
      </w:r>
      <w:r>
        <w:rPr>
          <w:rFonts w:ascii="Times New Roman" w:hAnsi="宋体"/>
          <w:sz w:val="24"/>
          <w:szCs w:val="24"/>
        </w:rPr>
        <w:t>修改完善技术方法和完成草案稿起草</w:t>
      </w:r>
      <w:r>
        <w:rPr>
          <w:rFonts w:hint="eastAsia" w:ascii="Times New Roman" w:hAnsi="宋体"/>
          <w:sz w:val="24"/>
          <w:szCs w:val="24"/>
        </w:rPr>
        <w:t>及</w:t>
      </w:r>
      <w:r>
        <w:rPr>
          <w:rFonts w:ascii="Times New Roman" w:hAnsi="宋体"/>
          <w:sz w:val="24"/>
          <w:szCs w:val="24"/>
        </w:rPr>
        <w:t>修改</w:t>
      </w:r>
      <w:r>
        <w:rPr>
          <w:rFonts w:hint="eastAsia" w:ascii="Times New Roman" w:hAnsi="宋体"/>
          <w:sz w:val="24"/>
          <w:szCs w:val="24"/>
        </w:rPr>
        <w:t>等过程完成编制工作</w:t>
      </w:r>
      <w:r>
        <w:rPr>
          <w:rFonts w:ascii="Times New Roman" w:hAnsi="宋体"/>
          <w:sz w:val="24"/>
          <w:szCs w:val="24"/>
        </w:rPr>
        <w:t>。</w:t>
      </w:r>
    </w:p>
    <w:p>
      <w:pPr>
        <w:pStyle w:val="2"/>
        <w:spacing w:line="400" w:lineRule="exact"/>
        <w:rPr>
          <w:rFonts w:ascii="Times New Roman" w:hAnsi="Times New Roman"/>
          <w:sz w:val="28"/>
          <w:szCs w:val="28"/>
        </w:rPr>
      </w:pPr>
      <w:r>
        <w:rPr>
          <w:rFonts w:ascii="Times New Roman" w:hAnsi="Times New Roman"/>
          <w:sz w:val="28"/>
          <w:szCs w:val="28"/>
        </w:rPr>
        <w:t>二、与国内有关现行法律、法规和强制性国家标准的关系</w:t>
      </w:r>
    </w:p>
    <w:p>
      <w:pPr>
        <w:pStyle w:val="19"/>
        <w:spacing w:line="400" w:lineRule="exact"/>
        <w:ind w:firstLine="480"/>
        <w:rPr>
          <w:rFonts w:ascii="Times New Roman"/>
          <w:sz w:val="24"/>
          <w:szCs w:val="24"/>
        </w:rPr>
      </w:pPr>
      <w:r>
        <w:rPr>
          <w:rFonts w:hint="eastAsia" w:ascii="Times New Roman" w:hAnsi="宋体"/>
          <w:sz w:val="24"/>
          <w:szCs w:val="24"/>
        </w:rPr>
        <w:t>伴随</w:t>
      </w:r>
      <w:r>
        <w:rPr>
          <w:rFonts w:ascii="Times New Roman" w:hAnsi="宋体"/>
          <w:sz w:val="24"/>
          <w:szCs w:val="24"/>
        </w:rPr>
        <w:t>经济的持续高速发展，</w:t>
      </w:r>
      <w:r>
        <w:rPr>
          <w:rStyle w:val="31"/>
          <w:rFonts w:ascii="Times New Roman" w:hAnsi="宋体"/>
          <w:sz w:val="24"/>
          <w:szCs w:val="24"/>
        </w:rPr>
        <w:t>我国化妆品市场发展异常迅猛，市场销售量以超过两位百分数的速度递增。</w:t>
      </w:r>
      <w:r>
        <w:rPr>
          <w:rFonts w:ascii="Times New Roman" w:hAnsi="宋体"/>
          <w:sz w:val="24"/>
          <w:szCs w:val="24"/>
        </w:rPr>
        <w:t>为确保化妆品的安全性，我国相关卫生法律法规都要求对这些化妆品成品及其原料进行</w:t>
      </w:r>
      <w:r>
        <w:rPr>
          <w:rFonts w:hint="eastAsia" w:ascii="Times New Roman" w:hAnsi="宋体"/>
          <w:sz w:val="24"/>
          <w:szCs w:val="24"/>
        </w:rPr>
        <w:t>皮肤刺激性/腐蚀性</w:t>
      </w:r>
      <w:r>
        <w:rPr>
          <w:rFonts w:ascii="Times New Roman" w:hAnsi="宋体"/>
          <w:sz w:val="24"/>
          <w:szCs w:val="24"/>
        </w:rPr>
        <w:t>评价。目前，我国检测化妆品</w:t>
      </w:r>
      <w:r>
        <w:rPr>
          <w:rFonts w:hint="eastAsia" w:ascii="Times New Roman" w:hAnsi="宋体"/>
          <w:sz w:val="24"/>
          <w:szCs w:val="24"/>
        </w:rPr>
        <w:t>皮肤刺激性/腐蚀性</w:t>
      </w:r>
      <w:r>
        <w:rPr>
          <w:rFonts w:ascii="Times New Roman" w:hAnsi="宋体"/>
          <w:sz w:val="24"/>
          <w:szCs w:val="24"/>
        </w:rPr>
        <w:t>的主要依据《化妆品</w:t>
      </w:r>
      <w:r>
        <w:rPr>
          <w:rFonts w:hint="eastAsia" w:ascii="Times New Roman" w:hAnsi="宋体"/>
          <w:sz w:val="24"/>
          <w:szCs w:val="24"/>
        </w:rPr>
        <w:t>安全</w:t>
      </w:r>
      <w:r>
        <w:rPr>
          <w:rFonts w:ascii="Times New Roman" w:hAnsi="宋体"/>
          <w:sz w:val="24"/>
          <w:szCs w:val="24"/>
        </w:rPr>
        <w:t>技术规范》中动物皮肤</w:t>
      </w:r>
      <w:r>
        <w:rPr>
          <w:rFonts w:hint="eastAsia" w:ascii="Times New Roman" w:hAnsi="宋体"/>
          <w:sz w:val="24"/>
          <w:szCs w:val="24"/>
        </w:rPr>
        <w:t>刺激性/腐蚀性</w:t>
      </w:r>
      <w:r>
        <w:rPr>
          <w:rFonts w:ascii="Times New Roman" w:hAnsi="宋体"/>
          <w:sz w:val="24"/>
          <w:szCs w:val="24"/>
        </w:rPr>
        <w:t>试验，以此外推对人体健康的可能危害，尚无体外替代试验标准，本研究</w:t>
      </w:r>
      <w:r>
        <w:rPr>
          <w:rFonts w:ascii="Times New Roman"/>
          <w:sz w:val="24"/>
          <w:szCs w:val="24"/>
        </w:rPr>
        <w:t>的主要内容是建立</w:t>
      </w:r>
      <w:r>
        <w:rPr>
          <w:rFonts w:hint="eastAsia" w:ascii="Times New Roman"/>
          <w:sz w:val="24"/>
          <w:szCs w:val="24"/>
        </w:rPr>
        <w:t>皮肤腐蚀性</w:t>
      </w:r>
      <w:r>
        <w:rPr>
          <w:rFonts w:ascii="Times New Roman"/>
          <w:sz w:val="24"/>
          <w:szCs w:val="24"/>
        </w:rPr>
        <w:t>离体替代试验方法，与</w:t>
      </w:r>
      <w:r>
        <w:rPr>
          <w:rFonts w:ascii="Times New Roman" w:hAnsi="宋体"/>
          <w:sz w:val="24"/>
          <w:szCs w:val="24"/>
        </w:rPr>
        <w:t>《化妆品</w:t>
      </w:r>
      <w:r>
        <w:rPr>
          <w:rFonts w:hint="eastAsia" w:ascii="Times New Roman" w:hAnsi="宋体"/>
          <w:sz w:val="24"/>
          <w:szCs w:val="24"/>
        </w:rPr>
        <w:t>安全</w:t>
      </w:r>
      <w:r>
        <w:rPr>
          <w:rFonts w:ascii="Times New Roman" w:hAnsi="宋体"/>
          <w:sz w:val="24"/>
          <w:szCs w:val="24"/>
        </w:rPr>
        <w:t>技术规范》内容不冲突，技术方法上形成互补，</w:t>
      </w:r>
      <w:r>
        <w:rPr>
          <w:rFonts w:ascii="Times New Roman"/>
          <w:sz w:val="24"/>
          <w:szCs w:val="24"/>
        </w:rPr>
        <w:t>以期</w:t>
      </w:r>
      <w:r>
        <w:rPr>
          <w:rFonts w:ascii="Times New Roman" w:hAnsi="宋体"/>
          <w:sz w:val="24"/>
          <w:szCs w:val="24"/>
        </w:rPr>
        <w:t>与有关国际条约尽快接轨，为推进我国体外试验工作的开展，建立我国自己的动物</w:t>
      </w:r>
      <w:r>
        <w:rPr>
          <w:rFonts w:hint="eastAsia" w:ascii="Times New Roman" w:hAnsi="宋体"/>
          <w:sz w:val="24"/>
          <w:szCs w:val="24"/>
        </w:rPr>
        <w:t>体外</w:t>
      </w:r>
      <w:r>
        <w:rPr>
          <w:rFonts w:ascii="Times New Roman" w:hAnsi="宋体"/>
          <w:sz w:val="24"/>
          <w:szCs w:val="24"/>
        </w:rPr>
        <w:t>替代方法体系，促进我国未来的化妆品贸易提供技术支持与保证。</w:t>
      </w:r>
    </w:p>
    <w:p>
      <w:pPr>
        <w:pStyle w:val="2"/>
        <w:spacing w:line="400" w:lineRule="exact"/>
        <w:rPr>
          <w:rFonts w:ascii="Times New Roman" w:hAnsi="Times New Roman"/>
          <w:sz w:val="28"/>
          <w:szCs w:val="28"/>
        </w:rPr>
      </w:pPr>
      <w:r>
        <w:rPr>
          <w:rFonts w:ascii="Times New Roman" w:hAnsi="Times New Roman"/>
          <w:sz w:val="28"/>
          <w:szCs w:val="28"/>
        </w:rPr>
        <w:t>三、采用国外标准的程度以及与国外同类标准水平的比较</w:t>
      </w:r>
    </w:p>
    <w:p>
      <w:pPr>
        <w:pStyle w:val="19"/>
        <w:spacing w:line="400" w:lineRule="exact"/>
        <w:ind w:firstLine="480"/>
        <w:rPr>
          <w:rFonts w:hint="eastAsia" w:ascii="Times New Roman"/>
          <w:sz w:val="24"/>
          <w:szCs w:val="24"/>
        </w:rPr>
      </w:pPr>
      <w:r>
        <w:rPr>
          <w:rFonts w:ascii="Times New Roman" w:hAnsi="宋体"/>
          <w:sz w:val="24"/>
          <w:szCs w:val="24"/>
        </w:rPr>
        <w:t>随着经济的持续高速发展、社会进步、动物福利、动物保护运动的兴起和</w:t>
      </w:r>
      <w:r>
        <w:rPr>
          <w:rFonts w:hint="eastAsia" w:ascii="Times New Roman" w:hAnsi="宋体"/>
          <w:sz w:val="24"/>
          <w:szCs w:val="24"/>
        </w:rPr>
        <w:t>“</w:t>
      </w:r>
      <w:r>
        <w:rPr>
          <w:rFonts w:ascii="Times New Roman"/>
          <w:sz w:val="24"/>
          <w:szCs w:val="24"/>
        </w:rPr>
        <w:t>3R</w:t>
      </w:r>
      <w:r>
        <w:rPr>
          <w:rFonts w:ascii="Times New Roman" w:hAnsi="宋体"/>
          <w:sz w:val="24"/>
          <w:szCs w:val="24"/>
        </w:rPr>
        <w:t>”原则的提出，近年来对于如何减少、优化、替代动物试验成为全世界特别关注的焦点。</w:t>
      </w:r>
      <w:r>
        <w:rPr>
          <w:rFonts w:hint="eastAsia" w:ascii="Times New Roman" w:hAnsi="宋体"/>
          <w:sz w:val="24"/>
          <w:szCs w:val="24"/>
        </w:rPr>
        <w:t>1998年</w:t>
      </w:r>
      <w:r>
        <w:rPr>
          <w:rFonts w:ascii="Times New Roman" w:hAnsi="宋体"/>
          <w:sz w:val="24"/>
          <w:szCs w:val="24"/>
        </w:rPr>
        <w:t>，</w:t>
      </w:r>
      <w:r>
        <w:rPr>
          <w:rFonts w:hint="eastAsia" w:ascii="Times New Roman" w:hAnsi="宋体"/>
          <w:sz w:val="24"/>
          <w:szCs w:val="24"/>
        </w:rPr>
        <w:t>欧盟</w:t>
      </w:r>
      <w:r>
        <w:rPr>
          <w:rFonts w:ascii="Times New Roman" w:hAnsi="宋体"/>
          <w:sz w:val="24"/>
          <w:szCs w:val="24"/>
        </w:rPr>
        <w:t>替代方法验证中心（</w:t>
      </w:r>
      <w:r>
        <w:rPr>
          <w:rFonts w:hint="eastAsia" w:ascii="Times New Roman" w:hAnsi="宋体"/>
          <w:sz w:val="24"/>
          <w:szCs w:val="24"/>
        </w:rPr>
        <w:t>ECVAM</w:t>
      </w:r>
      <w:r>
        <w:rPr>
          <w:rFonts w:ascii="Times New Roman" w:hAnsi="宋体"/>
          <w:sz w:val="24"/>
          <w:szCs w:val="24"/>
        </w:rPr>
        <w:t>）</w:t>
      </w:r>
      <w:r>
        <w:rPr>
          <w:rFonts w:hint="eastAsia" w:ascii="Times New Roman" w:hAnsi="宋体"/>
          <w:sz w:val="24"/>
          <w:szCs w:val="24"/>
        </w:rPr>
        <w:t>对</w:t>
      </w:r>
      <w:r>
        <w:rPr>
          <w:rFonts w:ascii="Times New Roman" w:hAnsi="宋体"/>
          <w:sz w:val="24"/>
          <w:szCs w:val="24"/>
        </w:rPr>
        <w:t>该方法进行了验证并</w:t>
      </w:r>
      <w:r>
        <w:rPr>
          <w:rFonts w:hint="eastAsia" w:ascii="Times New Roman" w:hAnsi="宋体"/>
          <w:sz w:val="24"/>
          <w:szCs w:val="24"/>
        </w:rPr>
        <w:t>批准</w:t>
      </w:r>
      <w:r>
        <w:rPr>
          <w:rFonts w:ascii="Times New Roman" w:hAnsi="宋体"/>
          <w:sz w:val="24"/>
          <w:szCs w:val="24"/>
        </w:rPr>
        <w:t>其</w:t>
      </w:r>
      <w:r>
        <w:rPr>
          <w:rFonts w:hint="eastAsia" w:ascii="Times New Roman" w:hAnsi="宋体"/>
          <w:sz w:val="24"/>
          <w:szCs w:val="24"/>
        </w:rPr>
        <w:t>作为</w:t>
      </w:r>
      <w:r>
        <w:rPr>
          <w:rFonts w:ascii="Times New Roman" w:hAnsi="宋体"/>
          <w:sz w:val="24"/>
          <w:szCs w:val="24"/>
        </w:rPr>
        <w:t>化学物质皮肤腐蚀性的</w:t>
      </w:r>
      <w:r>
        <w:rPr>
          <w:rFonts w:hint="eastAsia" w:ascii="Times New Roman" w:hAnsi="宋体"/>
          <w:sz w:val="24"/>
          <w:szCs w:val="24"/>
        </w:rPr>
        <w:t>替代</w:t>
      </w:r>
      <w:r>
        <w:rPr>
          <w:rFonts w:ascii="Times New Roman" w:hAnsi="宋体"/>
          <w:sz w:val="24"/>
          <w:szCs w:val="24"/>
        </w:rPr>
        <w:t>方法</w:t>
      </w:r>
      <w:r>
        <w:rPr>
          <w:rFonts w:hint="eastAsia" w:ascii="Times New Roman" w:hAnsi="宋体"/>
          <w:sz w:val="24"/>
          <w:szCs w:val="24"/>
        </w:rPr>
        <w:t>之一。2002年</w:t>
      </w:r>
      <w:r>
        <w:rPr>
          <w:rFonts w:ascii="Times New Roman" w:hAnsi="宋体"/>
          <w:sz w:val="24"/>
          <w:szCs w:val="24"/>
        </w:rPr>
        <w:t>，</w:t>
      </w:r>
      <w:r>
        <w:rPr>
          <w:rFonts w:hint="eastAsia" w:ascii="Times New Roman" w:hAnsi="宋体"/>
          <w:sz w:val="24"/>
          <w:szCs w:val="24"/>
        </w:rPr>
        <w:t>美国</w:t>
      </w:r>
      <w:r>
        <w:rPr>
          <w:rFonts w:hint="eastAsia" w:ascii="Times New Roman"/>
          <w:sz w:val="24"/>
          <w:szCs w:val="24"/>
        </w:rPr>
        <w:t>替代方法跨部门验证协调合作委员会（</w:t>
      </w:r>
      <w:r>
        <w:rPr>
          <w:rFonts w:ascii="Times New Roman"/>
          <w:sz w:val="24"/>
          <w:szCs w:val="24"/>
        </w:rPr>
        <w:t>ICCVAM</w:t>
      </w:r>
      <w:r>
        <w:rPr>
          <w:rFonts w:hint="eastAsia" w:ascii="Times New Roman"/>
          <w:sz w:val="24"/>
          <w:szCs w:val="24"/>
        </w:rPr>
        <w:t>）对该方法进行</w:t>
      </w:r>
      <w:r>
        <w:rPr>
          <w:rFonts w:ascii="Times New Roman"/>
          <w:sz w:val="24"/>
          <w:szCs w:val="24"/>
        </w:rPr>
        <w:t>了</w:t>
      </w:r>
      <w:r>
        <w:rPr>
          <w:rFonts w:hint="eastAsia" w:ascii="Times New Roman"/>
          <w:sz w:val="24"/>
          <w:szCs w:val="24"/>
        </w:rPr>
        <w:t>评估</w:t>
      </w:r>
      <w:r>
        <w:rPr>
          <w:rFonts w:ascii="Times New Roman"/>
          <w:sz w:val="24"/>
          <w:szCs w:val="24"/>
        </w:rPr>
        <w:t>并将此方法作为</w:t>
      </w:r>
      <w:r>
        <w:rPr>
          <w:rFonts w:hint="eastAsia" w:ascii="Times New Roman"/>
          <w:sz w:val="24"/>
          <w:szCs w:val="24"/>
        </w:rPr>
        <w:t>化学品皮肤</w:t>
      </w:r>
      <w:r>
        <w:rPr>
          <w:rFonts w:ascii="Times New Roman"/>
          <w:sz w:val="24"/>
          <w:szCs w:val="24"/>
        </w:rPr>
        <w:t>腐蚀性</w:t>
      </w:r>
      <w:r>
        <w:rPr>
          <w:rFonts w:hint="eastAsia" w:ascii="Times New Roman"/>
          <w:sz w:val="24"/>
          <w:szCs w:val="24"/>
        </w:rPr>
        <w:t>检测替代方法。</w:t>
      </w:r>
      <w:r>
        <w:rPr>
          <w:rFonts w:ascii="Times New Roman"/>
          <w:sz w:val="24"/>
          <w:szCs w:val="24"/>
        </w:rPr>
        <w:t>2004</w:t>
      </w:r>
      <w:r>
        <w:rPr>
          <w:rFonts w:ascii="Times New Roman" w:hAnsi="宋体"/>
          <w:sz w:val="24"/>
          <w:szCs w:val="24"/>
        </w:rPr>
        <w:t>年经济合作和发展组织（</w:t>
      </w:r>
      <w:r>
        <w:rPr>
          <w:rFonts w:ascii="Times New Roman"/>
          <w:sz w:val="24"/>
          <w:szCs w:val="24"/>
        </w:rPr>
        <w:t>OECD</w:t>
      </w:r>
      <w:r>
        <w:rPr>
          <w:rFonts w:ascii="Times New Roman" w:hAnsi="宋体"/>
          <w:sz w:val="24"/>
          <w:szCs w:val="24"/>
        </w:rPr>
        <w:t>）正式发布</w:t>
      </w:r>
      <w:r>
        <w:rPr>
          <w:rFonts w:hint="eastAsia"/>
          <w:sz w:val="24"/>
          <w:szCs w:val="24"/>
        </w:rPr>
        <w:t>皮肤</w:t>
      </w:r>
      <w:r>
        <w:rPr>
          <w:sz w:val="24"/>
          <w:szCs w:val="24"/>
        </w:rPr>
        <w:t>腐蚀性体外试验方法</w:t>
      </w:r>
      <w:r>
        <w:rPr>
          <w:rFonts w:hint="eastAsia"/>
          <w:sz w:val="24"/>
          <w:szCs w:val="24"/>
        </w:rPr>
        <w:t>大鼠经皮电阻</w:t>
      </w:r>
      <w:r>
        <w:rPr>
          <w:sz w:val="24"/>
          <w:szCs w:val="24"/>
        </w:rPr>
        <w:t>操作指南</w:t>
      </w:r>
      <w:r>
        <w:rPr>
          <w:rFonts w:ascii="Times New Roman" w:hAnsi="宋体"/>
          <w:sz w:val="24"/>
          <w:szCs w:val="24"/>
        </w:rPr>
        <w:t>，将其用于化学物质</w:t>
      </w:r>
      <w:r>
        <w:rPr>
          <w:rFonts w:hint="eastAsia" w:ascii="Times New Roman" w:hAnsi="宋体"/>
          <w:sz w:val="24"/>
          <w:szCs w:val="24"/>
        </w:rPr>
        <w:t>皮肤</w:t>
      </w:r>
      <w:r>
        <w:rPr>
          <w:rFonts w:ascii="Times New Roman" w:hAnsi="宋体"/>
          <w:sz w:val="24"/>
          <w:szCs w:val="24"/>
        </w:rPr>
        <w:t>腐蚀性的安全性评价</w:t>
      </w:r>
      <w:r>
        <w:rPr>
          <w:rFonts w:hint="eastAsia" w:ascii="Times New Roman" w:hAnsi="宋体"/>
          <w:sz w:val="24"/>
          <w:szCs w:val="24"/>
        </w:rPr>
        <w:t>，之后</w:t>
      </w:r>
      <w:r>
        <w:rPr>
          <w:rFonts w:ascii="Times New Roman" w:hAnsi="宋体"/>
          <w:sz w:val="24"/>
          <w:szCs w:val="24"/>
        </w:rPr>
        <w:t>于</w:t>
      </w:r>
      <w:r>
        <w:rPr>
          <w:rFonts w:hint="eastAsia" w:ascii="Times New Roman" w:hAnsi="宋体"/>
          <w:sz w:val="24"/>
          <w:szCs w:val="24"/>
        </w:rPr>
        <w:t>2013年</w:t>
      </w:r>
      <w:r>
        <w:rPr>
          <w:rFonts w:ascii="Times New Roman" w:hAnsi="宋体"/>
          <w:sz w:val="24"/>
          <w:szCs w:val="24"/>
        </w:rPr>
        <w:t>和</w:t>
      </w:r>
      <w:r>
        <w:rPr>
          <w:rFonts w:hint="eastAsia" w:ascii="Times New Roman" w:hAnsi="宋体"/>
          <w:sz w:val="24"/>
          <w:szCs w:val="24"/>
        </w:rPr>
        <w:t>2015年两次</w:t>
      </w:r>
      <w:r>
        <w:rPr>
          <w:rFonts w:ascii="Times New Roman" w:hAnsi="宋体"/>
          <w:sz w:val="24"/>
          <w:szCs w:val="24"/>
        </w:rPr>
        <w:t>修订该方法的操作指南，现行的</w:t>
      </w:r>
      <w:r>
        <w:rPr>
          <w:rFonts w:hint="eastAsia" w:ascii="Times New Roman" w:hAnsi="宋体"/>
          <w:sz w:val="24"/>
          <w:szCs w:val="24"/>
        </w:rPr>
        <w:t>指南</w:t>
      </w:r>
      <w:r>
        <w:rPr>
          <w:rFonts w:ascii="Times New Roman" w:hAnsi="宋体"/>
          <w:sz w:val="24"/>
          <w:szCs w:val="24"/>
        </w:rPr>
        <w:t>标准为</w:t>
      </w:r>
      <w:r>
        <w:rPr>
          <w:rFonts w:hint="eastAsia" w:ascii="Times New Roman" w:hAnsi="宋体"/>
          <w:sz w:val="24"/>
          <w:szCs w:val="24"/>
        </w:rPr>
        <w:t>2015年</w:t>
      </w:r>
      <w:r>
        <w:rPr>
          <w:rFonts w:ascii="Times New Roman" w:hAnsi="宋体"/>
          <w:sz w:val="24"/>
          <w:szCs w:val="24"/>
        </w:rPr>
        <w:t>版。</w:t>
      </w:r>
    </w:p>
    <w:p>
      <w:pPr>
        <w:spacing w:line="400" w:lineRule="exact"/>
        <w:ind w:firstLine="480" w:firstLineChars="200"/>
        <w:rPr>
          <w:sz w:val="24"/>
          <w:szCs w:val="24"/>
        </w:rPr>
      </w:pPr>
      <w:r>
        <w:rPr>
          <w:rFonts w:hAnsi="宋体"/>
          <w:sz w:val="24"/>
          <w:szCs w:val="24"/>
        </w:rPr>
        <w:t>本方法不仅涵盖了</w:t>
      </w:r>
      <w:r>
        <w:rPr>
          <w:sz w:val="24"/>
          <w:szCs w:val="24"/>
        </w:rPr>
        <w:t>OECD 2004</w:t>
      </w:r>
      <w:r>
        <w:rPr>
          <w:sz w:val="24"/>
          <w:szCs w:val="24"/>
          <w:lang w:val="zh-CN"/>
        </w:rPr>
        <w:t>年</w:t>
      </w:r>
      <w:r>
        <w:rPr>
          <w:sz w:val="24"/>
          <w:szCs w:val="24"/>
        </w:rPr>
        <w:t>正式发布“</w:t>
      </w:r>
      <w:r>
        <w:rPr>
          <w:rFonts w:hint="eastAsia"/>
          <w:sz w:val="24"/>
          <w:szCs w:val="24"/>
        </w:rPr>
        <w:t>皮肤</w:t>
      </w:r>
      <w:r>
        <w:rPr>
          <w:sz w:val="24"/>
          <w:szCs w:val="24"/>
        </w:rPr>
        <w:t>腐蚀性体外试验方法</w:t>
      </w:r>
      <w:r>
        <w:rPr>
          <w:rFonts w:hint="eastAsia"/>
          <w:sz w:val="24"/>
          <w:szCs w:val="24"/>
        </w:rPr>
        <w:t>大鼠经皮电阻</w:t>
      </w:r>
      <w:r>
        <w:rPr>
          <w:sz w:val="24"/>
          <w:szCs w:val="24"/>
        </w:rPr>
        <w:t>操作指南”（OECD guidelines for the testing of chemicals: In Vitro Skin Corrosion: Transcutaneous Electrical Resistance Test Method (TER). NO. 430）</w:t>
      </w:r>
      <w:r>
        <w:rPr>
          <w:rFonts w:hAnsi="宋体"/>
          <w:sz w:val="24"/>
          <w:szCs w:val="24"/>
        </w:rPr>
        <w:t>的要求，</w:t>
      </w:r>
      <w:r>
        <w:rPr>
          <w:sz w:val="24"/>
          <w:szCs w:val="24"/>
          <w:lang w:val="zh-CN"/>
        </w:rPr>
        <w:t>而且结合</w:t>
      </w:r>
      <w:r>
        <w:rPr>
          <w:rFonts w:hAnsi="宋体"/>
          <w:sz w:val="24"/>
          <w:szCs w:val="24"/>
        </w:rPr>
        <w:t>我国实验室特点，对实验操作中的重要质量控制条件进行了确认。本方法草案体现</w:t>
      </w:r>
      <w:r>
        <w:rPr>
          <w:rFonts w:hint="eastAsia" w:hAnsi="宋体"/>
          <w:sz w:val="24"/>
          <w:szCs w:val="24"/>
        </w:rPr>
        <w:t>皮肤腐蚀性</w:t>
      </w:r>
      <w:r>
        <w:rPr>
          <w:rFonts w:hAnsi="宋体"/>
          <w:sz w:val="24"/>
          <w:szCs w:val="24"/>
        </w:rPr>
        <w:t>体外试验的试验思路，贴近国内实验室实际情况，更具可操作性。</w:t>
      </w:r>
    </w:p>
    <w:p>
      <w:pPr>
        <w:rPr>
          <w:b/>
          <w:color w:val="000000"/>
          <w:sz w:val="24"/>
          <w:szCs w:val="24"/>
        </w:rPr>
      </w:pPr>
    </w:p>
    <w:p>
      <w:pPr>
        <w:pStyle w:val="2"/>
        <w:spacing w:line="400" w:lineRule="exact"/>
        <w:rPr>
          <w:rFonts w:ascii="Times New Roman" w:hAnsi="Times New Roman"/>
          <w:sz w:val="28"/>
          <w:szCs w:val="28"/>
        </w:rPr>
      </w:pPr>
      <w:r>
        <w:rPr>
          <w:rFonts w:ascii="Times New Roman" w:hAnsi="Times New Roman"/>
          <w:sz w:val="28"/>
          <w:szCs w:val="28"/>
        </w:rPr>
        <w:t>四、方法的制修订与起草原则</w:t>
      </w:r>
    </w:p>
    <w:p>
      <w:pPr>
        <w:pStyle w:val="2"/>
        <w:spacing w:line="360" w:lineRule="exact"/>
        <w:rPr>
          <w:rFonts w:ascii="Times New Roman" w:hAnsi="Times New Roman"/>
          <w:b w:val="0"/>
          <w:bCs/>
          <w:sz w:val="24"/>
          <w:szCs w:val="24"/>
        </w:rPr>
      </w:pPr>
      <w:r>
        <w:rPr>
          <w:rFonts w:ascii="Times New Roman" w:hAnsi="Times New Roman"/>
          <w:b w:val="0"/>
          <w:bCs/>
          <w:sz w:val="24"/>
          <w:szCs w:val="24"/>
        </w:rPr>
        <w:t>1. 与国际接轨的原则。</w:t>
      </w:r>
    </w:p>
    <w:p>
      <w:pPr>
        <w:spacing w:line="400" w:lineRule="exact"/>
        <w:ind w:firstLine="480" w:firstLineChars="200"/>
        <w:rPr>
          <w:color w:val="000000"/>
          <w:sz w:val="24"/>
          <w:szCs w:val="24"/>
        </w:rPr>
      </w:pPr>
      <w:r>
        <w:rPr>
          <w:rFonts w:hAnsi="宋体"/>
          <w:color w:val="000000"/>
          <w:sz w:val="24"/>
          <w:szCs w:val="24"/>
        </w:rPr>
        <w:t>试验的要求和规定逐步与国际接轨，对于已经比较成熟的、被多数国家和组织认可的方法，原则上予以接受。</w:t>
      </w:r>
    </w:p>
    <w:p>
      <w:pPr>
        <w:pStyle w:val="2"/>
        <w:spacing w:line="360" w:lineRule="exact"/>
        <w:rPr>
          <w:rFonts w:ascii="Times New Roman" w:hAnsi="Times New Roman"/>
          <w:b w:val="0"/>
          <w:bCs/>
          <w:sz w:val="24"/>
          <w:szCs w:val="24"/>
        </w:rPr>
      </w:pPr>
      <w:r>
        <w:rPr>
          <w:rFonts w:ascii="Times New Roman" w:hAnsi="Times New Roman"/>
          <w:b w:val="0"/>
          <w:bCs/>
          <w:sz w:val="24"/>
          <w:szCs w:val="24"/>
        </w:rPr>
        <w:t>2. 结合国情的原则。</w:t>
      </w:r>
    </w:p>
    <w:p>
      <w:pPr>
        <w:spacing w:line="400" w:lineRule="exact"/>
        <w:ind w:firstLine="470" w:firstLineChars="196"/>
        <w:rPr>
          <w:color w:val="000000"/>
          <w:sz w:val="24"/>
          <w:szCs w:val="24"/>
        </w:rPr>
      </w:pPr>
      <w:r>
        <w:rPr>
          <w:rFonts w:hAnsi="宋体"/>
          <w:color w:val="000000"/>
          <w:sz w:val="24"/>
          <w:szCs w:val="24"/>
        </w:rPr>
        <w:t>根据我国化妆品管理政策、要求和试验承担单位的水平以及化妆品原料的特点，对某些内容进行具体化和明确化，在尽量提高可操作性的同时，充分考虑了更好地发挥各试验承担单位的主观能动性，并从长远发展的观点出发，兼顾了技术发展的前瞻性。</w:t>
      </w:r>
    </w:p>
    <w:p>
      <w:pPr>
        <w:pStyle w:val="2"/>
        <w:spacing w:line="360" w:lineRule="exact"/>
        <w:rPr>
          <w:rFonts w:ascii="Times New Roman" w:hAnsi="Times New Roman"/>
          <w:b w:val="0"/>
          <w:bCs/>
          <w:sz w:val="24"/>
          <w:szCs w:val="24"/>
        </w:rPr>
      </w:pPr>
      <w:r>
        <w:rPr>
          <w:rFonts w:ascii="Times New Roman" w:hAnsi="Times New Roman"/>
          <w:b w:val="0"/>
          <w:bCs/>
          <w:sz w:val="24"/>
          <w:szCs w:val="24"/>
        </w:rPr>
        <w:t>3. 科学、合理、协调和有效性原则。</w:t>
      </w:r>
    </w:p>
    <w:p>
      <w:pPr>
        <w:pStyle w:val="19"/>
        <w:spacing w:line="400" w:lineRule="exact"/>
        <w:ind w:firstLine="470" w:firstLineChars="196"/>
        <w:rPr>
          <w:rFonts w:ascii="Times New Roman"/>
          <w:b/>
          <w:sz w:val="24"/>
          <w:szCs w:val="24"/>
        </w:rPr>
      </w:pPr>
      <w:r>
        <w:rPr>
          <w:rFonts w:ascii="Times New Roman" w:hAnsi="宋体"/>
          <w:color w:val="000000"/>
          <w:sz w:val="24"/>
          <w:szCs w:val="24"/>
        </w:rPr>
        <w:t>本</w:t>
      </w:r>
      <w:r>
        <w:rPr>
          <w:rFonts w:hint="eastAsia" w:ascii="Times New Roman" w:hAnsi="宋体"/>
          <w:color w:val="000000"/>
          <w:sz w:val="24"/>
          <w:szCs w:val="24"/>
        </w:rPr>
        <w:t>方法编制</w:t>
      </w:r>
      <w:r>
        <w:rPr>
          <w:rFonts w:ascii="Times New Roman" w:hAnsi="宋体"/>
          <w:color w:val="000000"/>
          <w:sz w:val="24"/>
          <w:szCs w:val="24"/>
        </w:rPr>
        <w:t>过程中</w:t>
      </w:r>
      <w:r>
        <w:rPr>
          <w:rFonts w:hint="eastAsia" w:ascii="Times New Roman" w:hAnsi="宋体"/>
          <w:color w:val="000000"/>
          <w:sz w:val="24"/>
          <w:szCs w:val="24"/>
        </w:rPr>
        <w:t>，同时注重</w:t>
      </w:r>
      <w:r>
        <w:rPr>
          <w:rFonts w:ascii="Times New Roman" w:hAnsi="宋体"/>
          <w:color w:val="000000"/>
          <w:sz w:val="24"/>
          <w:szCs w:val="24"/>
        </w:rPr>
        <w:t>了科学性</w:t>
      </w:r>
      <w:r>
        <w:rPr>
          <w:rFonts w:hint="eastAsia" w:ascii="Times New Roman" w:hAnsi="宋体"/>
          <w:color w:val="000000"/>
          <w:sz w:val="24"/>
          <w:szCs w:val="24"/>
        </w:rPr>
        <w:t>、</w:t>
      </w:r>
      <w:r>
        <w:rPr>
          <w:rFonts w:ascii="Times New Roman" w:hAnsi="宋体"/>
          <w:color w:val="000000"/>
          <w:sz w:val="24"/>
          <w:szCs w:val="24"/>
        </w:rPr>
        <w:t>合理性、协调性和有效性，以及通俗性和规范性之间的关系。</w:t>
      </w:r>
    </w:p>
    <w:p>
      <w:pPr>
        <w:pStyle w:val="19"/>
        <w:spacing w:line="400" w:lineRule="exact"/>
        <w:ind w:firstLine="0" w:firstLineChars="0"/>
        <w:rPr>
          <w:rFonts w:ascii="Times New Roman"/>
          <w:b/>
          <w:szCs w:val="21"/>
        </w:rPr>
      </w:pPr>
    </w:p>
    <w:p>
      <w:pPr>
        <w:pStyle w:val="2"/>
        <w:spacing w:line="400" w:lineRule="exact"/>
        <w:rPr>
          <w:rFonts w:ascii="Times New Roman" w:hAnsi="Times New Roman"/>
          <w:sz w:val="28"/>
          <w:szCs w:val="28"/>
        </w:rPr>
      </w:pPr>
      <w:r>
        <w:rPr>
          <w:rFonts w:ascii="Times New Roman" w:hAnsi="Times New Roman"/>
          <w:sz w:val="28"/>
          <w:szCs w:val="28"/>
        </w:rPr>
        <w:t>五、确定各项技术内容</w:t>
      </w:r>
    </w:p>
    <w:p>
      <w:pPr>
        <w:spacing w:line="400" w:lineRule="exact"/>
        <w:ind w:firstLine="480" w:firstLineChars="200"/>
        <w:rPr>
          <w:sz w:val="24"/>
          <w:szCs w:val="24"/>
        </w:rPr>
      </w:pPr>
      <w:r>
        <w:rPr>
          <w:rFonts w:hint="eastAsia" w:hAnsi="宋体"/>
          <w:color w:val="000000"/>
          <w:sz w:val="24"/>
          <w:szCs w:val="24"/>
        </w:rPr>
        <w:t>包括</w:t>
      </w:r>
      <w:r>
        <w:rPr>
          <w:rFonts w:hAnsi="宋体"/>
          <w:color w:val="000000"/>
          <w:sz w:val="24"/>
          <w:szCs w:val="24"/>
        </w:rPr>
        <w:t>技术指标、参数、公式、试验方法、检验规则等</w:t>
      </w:r>
      <w:r>
        <w:rPr>
          <w:rFonts w:hint="eastAsia" w:hAnsi="宋体"/>
          <w:color w:val="000000"/>
          <w:sz w:val="24"/>
          <w:szCs w:val="24"/>
        </w:rPr>
        <w:t>在内的</w:t>
      </w:r>
      <w:r>
        <w:rPr>
          <w:rFonts w:hAnsi="宋体"/>
          <w:color w:val="000000"/>
          <w:sz w:val="24"/>
          <w:szCs w:val="24"/>
        </w:rPr>
        <w:t>各项技术内容的依据来源自</w:t>
      </w:r>
      <w:r>
        <w:rPr>
          <w:color w:val="000000"/>
          <w:sz w:val="24"/>
          <w:szCs w:val="24"/>
        </w:rPr>
        <w:t>OECD Guidelines for Testing of Chemicals (No.430</w:t>
      </w:r>
      <w:r>
        <w:rPr>
          <w:rFonts w:hAnsi="宋体"/>
          <w:color w:val="000000"/>
          <w:sz w:val="24"/>
          <w:szCs w:val="24"/>
        </w:rPr>
        <w:t>，</w:t>
      </w:r>
      <w:r>
        <w:rPr>
          <w:sz w:val="24"/>
          <w:szCs w:val="24"/>
        </w:rPr>
        <w:t>2004</w:t>
      </w:r>
      <w:r>
        <w:rPr>
          <w:color w:val="000000"/>
          <w:sz w:val="24"/>
          <w:szCs w:val="24"/>
        </w:rPr>
        <w:t>)</w:t>
      </w:r>
      <w:r>
        <w:rPr>
          <w:rFonts w:hAnsi="宋体"/>
          <w:color w:val="000000"/>
          <w:sz w:val="24"/>
          <w:szCs w:val="24"/>
        </w:rPr>
        <w:t>（</w:t>
      </w:r>
      <w:r>
        <w:rPr>
          <w:color w:val="000000"/>
          <w:sz w:val="24"/>
          <w:szCs w:val="24"/>
        </w:rPr>
        <w:t>OECD</w:t>
      </w:r>
      <w:r>
        <w:rPr>
          <w:rFonts w:hAnsi="宋体"/>
          <w:color w:val="000000"/>
          <w:sz w:val="24"/>
          <w:szCs w:val="24"/>
        </w:rPr>
        <w:t>《化学品测试指南》</w:t>
      </w:r>
      <w:r>
        <w:rPr>
          <w:color w:val="000000"/>
          <w:sz w:val="24"/>
          <w:szCs w:val="24"/>
        </w:rPr>
        <w:t>430</w:t>
      </w:r>
      <w:r>
        <w:rPr>
          <w:rFonts w:hAnsi="宋体"/>
          <w:color w:val="000000"/>
          <w:sz w:val="24"/>
          <w:szCs w:val="24"/>
        </w:rPr>
        <w:t>号，</w:t>
      </w:r>
      <w:r>
        <w:rPr>
          <w:color w:val="000000"/>
          <w:sz w:val="24"/>
          <w:szCs w:val="24"/>
        </w:rPr>
        <w:t>2004</w:t>
      </w:r>
      <w:r>
        <w:rPr>
          <w:rFonts w:hAnsi="宋体"/>
          <w:color w:val="000000"/>
          <w:sz w:val="24"/>
          <w:szCs w:val="24"/>
        </w:rPr>
        <w:t>年）</w:t>
      </w:r>
      <w:r>
        <w:rPr>
          <w:rFonts w:hAnsi="宋体"/>
          <w:sz w:val="24"/>
          <w:szCs w:val="24"/>
        </w:rPr>
        <w:t>和</w:t>
      </w:r>
      <w:r>
        <w:rPr>
          <w:rFonts w:hint="eastAsia"/>
          <w:sz w:val="24"/>
          <w:szCs w:val="24"/>
        </w:rPr>
        <w:t>美国ICCVAM</w:t>
      </w:r>
      <w:r>
        <w:rPr>
          <w:rFonts w:hAnsi="宋体"/>
          <w:sz w:val="24"/>
          <w:szCs w:val="24"/>
        </w:rPr>
        <w:t>的</w:t>
      </w:r>
      <w:r>
        <w:rPr>
          <w:rFonts w:hint="eastAsia"/>
          <w:sz w:val="24"/>
          <w:szCs w:val="24"/>
        </w:rPr>
        <w:t>体外皮肤腐蚀性</w:t>
      </w:r>
      <w:r>
        <w:rPr>
          <w:sz w:val="24"/>
          <w:szCs w:val="24"/>
        </w:rPr>
        <w:t>经皮电阻</w:t>
      </w:r>
      <w:r>
        <w:rPr>
          <w:rFonts w:hAnsi="宋体"/>
          <w:sz w:val="24"/>
          <w:szCs w:val="24"/>
        </w:rPr>
        <w:t>试验方法</w:t>
      </w:r>
      <w:r>
        <w:rPr>
          <w:rFonts w:hint="eastAsia" w:hAnsi="宋体"/>
          <w:sz w:val="24"/>
          <w:szCs w:val="24"/>
        </w:rPr>
        <w:t>（2004年</w:t>
      </w:r>
      <w:r>
        <w:rPr>
          <w:rFonts w:hAnsi="宋体"/>
          <w:sz w:val="24"/>
          <w:szCs w:val="24"/>
        </w:rPr>
        <w:t>）</w:t>
      </w:r>
      <w:r>
        <w:rPr>
          <w:rFonts w:hint="eastAsia"/>
          <w:sz w:val="24"/>
          <w:szCs w:val="24"/>
        </w:rPr>
        <w:t>，</w:t>
      </w:r>
      <w:r>
        <w:rPr>
          <w:rFonts w:hAnsi="宋体"/>
          <w:sz w:val="24"/>
          <w:szCs w:val="24"/>
        </w:rPr>
        <w:t>基本涵盖了</w:t>
      </w:r>
      <w:r>
        <w:rPr>
          <w:sz w:val="24"/>
          <w:szCs w:val="24"/>
        </w:rPr>
        <w:t>OECD TG 430</w:t>
      </w:r>
      <w:r>
        <w:rPr>
          <w:rFonts w:hAnsi="宋体"/>
          <w:sz w:val="24"/>
          <w:szCs w:val="24"/>
        </w:rPr>
        <w:t>对采用对象、实验操作和结果分析的技术要求。在此基础上，本标准还结合我国实验室检测的特点，对实验操作中的某些条款和</w:t>
      </w:r>
      <w:r>
        <w:rPr>
          <w:rFonts w:hint="eastAsia" w:hAnsi="宋体"/>
          <w:sz w:val="24"/>
          <w:szCs w:val="24"/>
        </w:rPr>
        <w:t>判定</w:t>
      </w:r>
      <w:r>
        <w:rPr>
          <w:rFonts w:hAnsi="宋体"/>
          <w:sz w:val="24"/>
          <w:szCs w:val="24"/>
        </w:rPr>
        <w:t>标准进行了确认。</w:t>
      </w:r>
    </w:p>
    <w:p>
      <w:pPr>
        <w:pStyle w:val="2"/>
        <w:spacing w:line="400" w:lineRule="exact"/>
        <w:rPr>
          <w:rFonts w:hint="eastAsia" w:ascii="Times New Roman" w:hAnsi="Times New Roman"/>
          <w:sz w:val="28"/>
          <w:szCs w:val="28"/>
        </w:rPr>
      </w:pPr>
      <w:r>
        <w:rPr>
          <w:rFonts w:ascii="Times New Roman" w:hAnsi="Times New Roman"/>
          <w:sz w:val="28"/>
          <w:szCs w:val="28"/>
        </w:rPr>
        <w:t>六、实验室内比对和实验室间预验证情况</w:t>
      </w:r>
    </w:p>
    <w:p>
      <w:pPr>
        <w:pStyle w:val="19"/>
        <w:spacing w:line="400" w:lineRule="exact"/>
        <w:ind w:firstLine="480"/>
        <w:rPr>
          <w:rFonts w:ascii="Times New Roman"/>
          <w:sz w:val="24"/>
          <w:szCs w:val="24"/>
        </w:rPr>
      </w:pPr>
      <w:r>
        <w:rPr>
          <w:rFonts w:ascii="Times New Roman"/>
          <w:sz w:val="24"/>
          <w:szCs w:val="24"/>
        </w:rPr>
        <w:t>在本方法草案建立过程中，</w:t>
      </w:r>
      <w:r>
        <w:rPr>
          <w:rFonts w:hint="eastAsia" w:ascii="Times New Roman"/>
          <w:sz w:val="24"/>
          <w:szCs w:val="24"/>
        </w:rPr>
        <w:t>编制方</w:t>
      </w:r>
      <w:r>
        <w:rPr>
          <w:rFonts w:ascii="Times New Roman"/>
          <w:sz w:val="24"/>
          <w:szCs w:val="24"/>
        </w:rPr>
        <w:t>进行了两次实验室内比对</w:t>
      </w:r>
      <w:r>
        <w:rPr>
          <w:rFonts w:hint="eastAsia" w:ascii="Times New Roman"/>
          <w:sz w:val="24"/>
          <w:szCs w:val="24"/>
        </w:rPr>
        <w:t>。</w:t>
      </w:r>
      <w:r>
        <w:rPr>
          <w:rFonts w:ascii="Times New Roman"/>
          <w:sz w:val="24"/>
          <w:szCs w:val="24"/>
        </w:rPr>
        <w:t>2014年7月邀请</w:t>
      </w:r>
      <w:r>
        <w:rPr>
          <w:rFonts w:hint="eastAsia" w:ascii="Times New Roman"/>
          <w:sz w:val="24"/>
          <w:szCs w:val="24"/>
        </w:rPr>
        <w:t>北京市药检所</w:t>
      </w:r>
      <w:r>
        <w:rPr>
          <w:rFonts w:ascii="Times New Roman"/>
          <w:sz w:val="24"/>
          <w:szCs w:val="24"/>
        </w:rPr>
        <w:t>、</w:t>
      </w:r>
      <w:r>
        <w:rPr>
          <w:rFonts w:hint="eastAsia" w:ascii="Times New Roman"/>
          <w:sz w:val="24"/>
          <w:szCs w:val="24"/>
        </w:rPr>
        <w:t>浙江省食品药品</w:t>
      </w:r>
      <w:r>
        <w:rPr>
          <w:rFonts w:ascii="Times New Roman"/>
          <w:sz w:val="24"/>
          <w:szCs w:val="24"/>
        </w:rPr>
        <w:t>检定研究院和</w:t>
      </w:r>
      <w:r>
        <w:rPr>
          <w:rFonts w:hint="eastAsia" w:ascii="Times New Roman"/>
          <w:sz w:val="24"/>
          <w:szCs w:val="24"/>
        </w:rPr>
        <w:t>中国</w:t>
      </w:r>
      <w:r>
        <w:rPr>
          <w:rFonts w:ascii="Times New Roman"/>
          <w:sz w:val="24"/>
          <w:szCs w:val="24"/>
        </w:rPr>
        <w:t>检验检疫科学研究院</w:t>
      </w:r>
      <w:r>
        <w:rPr>
          <w:rFonts w:hint="eastAsia" w:ascii="Times New Roman"/>
          <w:sz w:val="24"/>
          <w:szCs w:val="24"/>
        </w:rPr>
        <w:t>3</w:t>
      </w:r>
      <w:r>
        <w:rPr>
          <w:rFonts w:ascii="Times New Roman"/>
          <w:sz w:val="24"/>
          <w:szCs w:val="24"/>
        </w:rPr>
        <w:t>家实验室参与实验室间验证，</w:t>
      </w:r>
      <w:r>
        <w:rPr>
          <w:rFonts w:hint="eastAsia" w:ascii="Times New Roman"/>
          <w:sz w:val="24"/>
          <w:szCs w:val="24"/>
        </w:rPr>
        <w:t>3</w:t>
      </w:r>
      <w:r>
        <w:rPr>
          <w:rFonts w:ascii="Times New Roman"/>
          <w:sz w:val="24"/>
          <w:szCs w:val="24"/>
        </w:rPr>
        <w:t>家验证机构对于提供的</w:t>
      </w:r>
      <w:r>
        <w:rPr>
          <w:rFonts w:hint="eastAsia" w:ascii="Times New Roman"/>
          <w:sz w:val="24"/>
          <w:szCs w:val="24"/>
        </w:rPr>
        <w:t>14</w:t>
      </w:r>
      <w:r>
        <w:rPr>
          <w:rFonts w:ascii="Times New Roman"/>
          <w:sz w:val="24"/>
          <w:szCs w:val="24"/>
        </w:rPr>
        <w:t>种样品（</w:t>
      </w:r>
      <w:r>
        <w:rPr>
          <w:rFonts w:hint="eastAsia" w:ascii="Times New Roman"/>
          <w:sz w:val="24"/>
          <w:szCs w:val="24"/>
        </w:rPr>
        <w:t>7</w:t>
      </w:r>
      <w:r>
        <w:rPr>
          <w:rFonts w:ascii="Times New Roman"/>
          <w:sz w:val="24"/>
          <w:szCs w:val="24"/>
        </w:rPr>
        <w:t>种为</w:t>
      </w:r>
      <w:r>
        <w:rPr>
          <w:rFonts w:hint="eastAsia" w:ascii="Times New Roman"/>
          <w:sz w:val="24"/>
          <w:szCs w:val="24"/>
        </w:rPr>
        <w:t>腐蚀</w:t>
      </w:r>
      <w:r>
        <w:rPr>
          <w:rFonts w:ascii="Times New Roman"/>
          <w:sz w:val="24"/>
          <w:szCs w:val="24"/>
        </w:rPr>
        <w:t>阳性，</w:t>
      </w:r>
      <w:r>
        <w:rPr>
          <w:rFonts w:hint="eastAsia" w:ascii="Times New Roman"/>
          <w:sz w:val="24"/>
          <w:szCs w:val="24"/>
        </w:rPr>
        <w:t>7</w:t>
      </w:r>
      <w:r>
        <w:rPr>
          <w:rFonts w:ascii="Times New Roman"/>
          <w:sz w:val="24"/>
          <w:szCs w:val="24"/>
        </w:rPr>
        <w:t>种为</w:t>
      </w:r>
      <w:r>
        <w:rPr>
          <w:rFonts w:hint="eastAsia" w:ascii="Times New Roman"/>
          <w:sz w:val="24"/>
          <w:szCs w:val="24"/>
        </w:rPr>
        <w:t>腐蚀</w:t>
      </w:r>
      <w:r>
        <w:rPr>
          <w:rFonts w:ascii="Times New Roman"/>
          <w:sz w:val="24"/>
          <w:szCs w:val="24"/>
        </w:rPr>
        <w:t>阴性）的检测结果</w:t>
      </w:r>
      <w:r>
        <w:rPr>
          <w:rFonts w:hint="eastAsia" w:ascii="Times New Roman"/>
          <w:sz w:val="24"/>
          <w:szCs w:val="24"/>
        </w:rPr>
        <w:t>，</w:t>
      </w:r>
      <w:r>
        <w:rPr>
          <w:rFonts w:ascii="Times New Roman"/>
          <w:sz w:val="24"/>
          <w:szCs w:val="24"/>
        </w:rPr>
        <w:t>除</w:t>
      </w:r>
      <w:r>
        <w:rPr>
          <w:rFonts w:hint="eastAsia" w:ascii="Times New Roman"/>
          <w:sz w:val="24"/>
          <w:szCs w:val="24"/>
        </w:rPr>
        <w:t>丁子香酚</w:t>
      </w:r>
      <w:r>
        <w:rPr>
          <w:rFonts w:ascii="Times New Roman"/>
          <w:sz w:val="24"/>
          <w:szCs w:val="24"/>
        </w:rPr>
        <w:t>和</w:t>
      </w:r>
      <w:r>
        <w:rPr>
          <w:rFonts w:hint="eastAsia" w:ascii="Times New Roman"/>
          <w:sz w:val="24"/>
          <w:szCs w:val="24"/>
        </w:rPr>
        <w:t>异丙醇</w:t>
      </w:r>
      <w:r>
        <w:rPr>
          <w:rFonts w:ascii="Times New Roman"/>
          <w:sz w:val="24"/>
          <w:szCs w:val="24"/>
        </w:rPr>
        <w:t>结果判定出现</w:t>
      </w:r>
      <w:r>
        <w:rPr>
          <w:rFonts w:hint="eastAsia" w:ascii="Times New Roman"/>
          <w:sz w:val="24"/>
          <w:szCs w:val="24"/>
        </w:rPr>
        <w:t>假阳性</w:t>
      </w:r>
      <w:r>
        <w:rPr>
          <w:rFonts w:ascii="Times New Roman"/>
          <w:sz w:val="24"/>
          <w:szCs w:val="24"/>
        </w:rPr>
        <w:t>外，其余</w:t>
      </w:r>
      <w:r>
        <w:rPr>
          <w:rFonts w:hint="eastAsia" w:ascii="Times New Roman"/>
          <w:sz w:val="24"/>
          <w:szCs w:val="24"/>
        </w:rPr>
        <w:t>受试物</w:t>
      </w:r>
      <w:r>
        <w:rPr>
          <w:rFonts w:ascii="Times New Roman"/>
          <w:sz w:val="24"/>
          <w:szCs w:val="24"/>
        </w:rPr>
        <w:t>检测结果均一致。2014年11月邀请</w:t>
      </w:r>
      <w:r>
        <w:rPr>
          <w:rFonts w:hint="eastAsia" w:ascii="Times New Roman"/>
          <w:sz w:val="24"/>
          <w:szCs w:val="24"/>
        </w:rPr>
        <w:t>广东</w:t>
      </w:r>
      <w:r>
        <w:rPr>
          <w:rFonts w:ascii="Times New Roman"/>
          <w:sz w:val="24"/>
          <w:szCs w:val="24"/>
        </w:rPr>
        <w:t>省</w:t>
      </w:r>
      <w:r>
        <w:rPr>
          <w:rFonts w:hint="eastAsia" w:ascii="Times New Roman"/>
          <w:sz w:val="24"/>
          <w:szCs w:val="24"/>
        </w:rPr>
        <w:t>CDC</w:t>
      </w:r>
      <w:r>
        <w:rPr>
          <w:rFonts w:ascii="Times New Roman"/>
          <w:sz w:val="24"/>
          <w:szCs w:val="24"/>
        </w:rPr>
        <w:t>参与实验室间</w:t>
      </w:r>
      <w:r>
        <w:rPr>
          <w:rFonts w:hint="eastAsia" w:ascii="Times New Roman"/>
          <w:sz w:val="24"/>
          <w:szCs w:val="24"/>
        </w:rPr>
        <w:t>不同</w:t>
      </w:r>
      <w:r>
        <w:rPr>
          <w:rFonts w:ascii="Times New Roman"/>
          <w:sz w:val="24"/>
          <w:szCs w:val="24"/>
        </w:rPr>
        <w:t>仪器结果的比对，</w:t>
      </w:r>
      <w:r>
        <w:rPr>
          <w:rFonts w:hint="eastAsia" w:ascii="Times New Roman"/>
          <w:sz w:val="24"/>
          <w:szCs w:val="24"/>
        </w:rPr>
        <w:t>广东省CDC对于方法</w:t>
      </w:r>
      <w:r>
        <w:rPr>
          <w:rFonts w:ascii="Times New Roman"/>
          <w:sz w:val="24"/>
          <w:szCs w:val="24"/>
        </w:rPr>
        <w:t>中的</w:t>
      </w:r>
      <w:r>
        <w:rPr>
          <w:rFonts w:hint="eastAsia" w:ascii="Times New Roman"/>
          <w:sz w:val="24"/>
          <w:szCs w:val="24"/>
        </w:rPr>
        <w:t>7种</w:t>
      </w:r>
      <w:r>
        <w:rPr>
          <w:rFonts w:ascii="Times New Roman"/>
          <w:sz w:val="24"/>
          <w:szCs w:val="24"/>
        </w:rPr>
        <w:t>样品</w:t>
      </w:r>
      <w:r>
        <w:rPr>
          <w:rFonts w:hint="eastAsia" w:ascii="Times New Roman"/>
          <w:sz w:val="24"/>
          <w:szCs w:val="24"/>
        </w:rPr>
        <w:t>（</w:t>
      </w:r>
      <w:r>
        <w:rPr>
          <w:rFonts w:ascii="Times New Roman"/>
          <w:sz w:val="24"/>
          <w:szCs w:val="24"/>
        </w:rPr>
        <w:t>4</w:t>
      </w:r>
      <w:r>
        <w:rPr>
          <w:rFonts w:hint="eastAsia" w:ascii="Times New Roman"/>
          <w:sz w:val="24"/>
          <w:szCs w:val="24"/>
        </w:rPr>
        <w:t>种</w:t>
      </w:r>
      <w:r>
        <w:rPr>
          <w:rFonts w:ascii="Times New Roman"/>
          <w:sz w:val="24"/>
          <w:szCs w:val="24"/>
        </w:rPr>
        <w:t>为腐蚀</w:t>
      </w:r>
      <w:r>
        <w:rPr>
          <w:rFonts w:hint="eastAsia" w:ascii="Times New Roman"/>
          <w:sz w:val="24"/>
          <w:szCs w:val="24"/>
        </w:rPr>
        <w:t>阳性</w:t>
      </w:r>
      <w:r>
        <w:rPr>
          <w:rFonts w:ascii="Times New Roman"/>
          <w:sz w:val="24"/>
          <w:szCs w:val="24"/>
        </w:rPr>
        <w:t>，</w:t>
      </w:r>
      <w:r>
        <w:rPr>
          <w:rFonts w:hint="eastAsia" w:ascii="Times New Roman"/>
          <w:sz w:val="24"/>
          <w:szCs w:val="24"/>
        </w:rPr>
        <w:t>3种</w:t>
      </w:r>
      <w:r>
        <w:rPr>
          <w:rFonts w:ascii="Times New Roman"/>
          <w:sz w:val="24"/>
          <w:szCs w:val="24"/>
        </w:rPr>
        <w:t>为腐蚀阴性），检测结果</w:t>
      </w:r>
      <w:r>
        <w:rPr>
          <w:rFonts w:hint="eastAsia" w:ascii="Times New Roman"/>
          <w:sz w:val="24"/>
          <w:szCs w:val="24"/>
        </w:rPr>
        <w:t>均</w:t>
      </w:r>
      <w:r>
        <w:rPr>
          <w:rFonts w:ascii="Times New Roman"/>
          <w:sz w:val="24"/>
          <w:szCs w:val="24"/>
        </w:rPr>
        <w:t>一致。</w:t>
      </w:r>
    </w:p>
    <w:p>
      <w:pPr>
        <w:pStyle w:val="2"/>
        <w:spacing w:line="400" w:lineRule="exact"/>
        <w:rPr>
          <w:rFonts w:ascii="Times New Roman" w:hAnsi="Times New Roman"/>
          <w:sz w:val="28"/>
          <w:szCs w:val="28"/>
        </w:rPr>
      </w:pPr>
      <w:r>
        <w:rPr>
          <w:rFonts w:ascii="Times New Roman" w:hAnsi="Times New Roman"/>
          <w:sz w:val="28"/>
          <w:szCs w:val="28"/>
        </w:rPr>
        <w:t>七、重大分歧意见及处理经过</w:t>
      </w:r>
    </w:p>
    <w:p>
      <w:pPr>
        <w:pStyle w:val="19"/>
        <w:spacing w:line="400" w:lineRule="exact"/>
        <w:ind w:firstLine="960" w:firstLineChars="400"/>
        <w:rPr>
          <w:rFonts w:ascii="Times New Roman"/>
          <w:sz w:val="24"/>
          <w:szCs w:val="24"/>
        </w:rPr>
      </w:pPr>
      <w:r>
        <w:rPr>
          <w:rFonts w:ascii="Times New Roman" w:hAnsi="宋体"/>
          <w:sz w:val="24"/>
          <w:szCs w:val="24"/>
        </w:rPr>
        <w:t>无。</w:t>
      </w:r>
    </w:p>
    <w:p>
      <w:pPr>
        <w:pStyle w:val="2"/>
        <w:spacing w:line="400" w:lineRule="exact"/>
        <w:rPr>
          <w:rFonts w:ascii="Times New Roman" w:hAnsi="Times New Roman"/>
          <w:sz w:val="28"/>
          <w:szCs w:val="28"/>
        </w:rPr>
      </w:pPr>
      <w:r>
        <w:rPr>
          <w:rFonts w:ascii="Times New Roman" w:hAnsi="Times New Roman"/>
          <w:sz w:val="28"/>
          <w:szCs w:val="28"/>
        </w:rPr>
        <w:t>八、其他应予说明的事项</w:t>
      </w:r>
    </w:p>
    <w:p>
      <w:pPr>
        <w:pStyle w:val="2"/>
        <w:spacing w:line="360" w:lineRule="exact"/>
        <w:rPr>
          <w:rFonts w:ascii="Times New Roman" w:hAnsi="Times New Roman"/>
          <w:b w:val="0"/>
          <w:bCs/>
          <w:sz w:val="24"/>
          <w:szCs w:val="24"/>
        </w:rPr>
      </w:pPr>
      <w:r>
        <w:rPr>
          <w:rFonts w:ascii="Times New Roman" w:hAnsi="Times New Roman"/>
          <w:b w:val="0"/>
          <w:bCs/>
          <w:sz w:val="24"/>
          <w:szCs w:val="24"/>
        </w:rPr>
        <w:t>1. 本方法的</w:t>
      </w:r>
      <w:r>
        <w:rPr>
          <w:rFonts w:hint="eastAsia" w:ascii="Times New Roman" w:hAnsi="Times New Roman"/>
          <w:b w:val="0"/>
          <w:bCs/>
          <w:sz w:val="24"/>
          <w:szCs w:val="24"/>
        </w:rPr>
        <w:t>判定</w:t>
      </w:r>
      <w:r>
        <w:rPr>
          <w:rFonts w:ascii="Times New Roman" w:hAnsi="Times New Roman"/>
          <w:b w:val="0"/>
          <w:bCs/>
          <w:sz w:val="24"/>
          <w:szCs w:val="24"/>
        </w:rPr>
        <w:t>原则</w:t>
      </w:r>
    </w:p>
    <w:p>
      <w:pPr>
        <w:spacing w:line="400" w:lineRule="exact"/>
        <w:ind w:left="105" w:leftChars="50" w:firstLine="480" w:firstLineChars="200"/>
        <w:rPr>
          <w:sz w:val="24"/>
          <w:szCs w:val="24"/>
        </w:rPr>
      </w:pPr>
      <w:r>
        <w:rPr>
          <w:sz w:val="24"/>
          <w:szCs w:val="24"/>
        </w:rPr>
        <w:t>本方法适用于化妆品原料进行体外</w:t>
      </w:r>
      <w:r>
        <w:rPr>
          <w:rFonts w:hint="eastAsia"/>
          <w:sz w:val="24"/>
          <w:szCs w:val="24"/>
        </w:rPr>
        <w:t>皮肤腐蚀</w:t>
      </w:r>
      <w:r>
        <w:rPr>
          <w:sz w:val="24"/>
          <w:szCs w:val="24"/>
        </w:rPr>
        <w:t>性测试，测试结果的特异性、再现性和稳定性良好，可有效替代动物实验。</w:t>
      </w:r>
    </w:p>
    <w:p>
      <w:pPr>
        <w:spacing w:line="400" w:lineRule="exact"/>
        <w:ind w:left="105" w:leftChars="50" w:firstLine="480" w:firstLineChars="200"/>
        <w:rPr>
          <w:sz w:val="24"/>
          <w:szCs w:val="24"/>
        </w:rPr>
      </w:pPr>
      <w:r>
        <w:rPr>
          <w:rFonts w:hint="eastAsia"/>
          <w:sz w:val="24"/>
          <w:szCs w:val="24"/>
        </w:rPr>
        <w:t>与OECD标准</w:t>
      </w:r>
      <w:r>
        <w:rPr>
          <w:sz w:val="24"/>
          <w:szCs w:val="24"/>
        </w:rPr>
        <w:t>判定描述相比，</w:t>
      </w:r>
      <w:r>
        <w:rPr>
          <w:rFonts w:hint="eastAsia"/>
          <w:sz w:val="24"/>
          <w:szCs w:val="24"/>
        </w:rPr>
        <w:t>OECD将TER值</w:t>
      </w:r>
      <w:r>
        <w:rPr>
          <w:sz w:val="24"/>
          <w:szCs w:val="24"/>
        </w:rPr>
        <w:t>大于</w:t>
      </w:r>
      <w:r>
        <w:rPr>
          <w:rFonts w:hint="eastAsia"/>
          <w:sz w:val="24"/>
          <w:szCs w:val="24"/>
        </w:rPr>
        <w:t>5</w:t>
      </w:r>
      <w:r>
        <w:rPr>
          <w:sz w:val="24"/>
          <w:szCs w:val="24"/>
        </w:rPr>
        <w:t>kΩ</w:t>
      </w:r>
      <w:r>
        <w:rPr>
          <w:rFonts w:hint="eastAsia"/>
          <w:sz w:val="24"/>
          <w:szCs w:val="24"/>
        </w:rPr>
        <w:t>且</w:t>
      </w:r>
      <w:r>
        <w:rPr>
          <w:sz w:val="24"/>
          <w:szCs w:val="24"/>
        </w:rPr>
        <w:t>肉眼观察</w:t>
      </w:r>
      <w:r>
        <w:rPr>
          <w:rFonts w:hint="eastAsia"/>
          <w:sz w:val="24"/>
          <w:szCs w:val="24"/>
        </w:rPr>
        <w:t>皮片无损伤</w:t>
      </w:r>
      <w:r>
        <w:rPr>
          <w:sz w:val="24"/>
          <w:szCs w:val="24"/>
        </w:rPr>
        <w:t>的物质均判定为非腐蚀性物质，而实际我们试验的结果中，很多</w:t>
      </w:r>
      <w:r>
        <w:rPr>
          <w:rFonts w:hint="eastAsia"/>
          <w:sz w:val="24"/>
          <w:szCs w:val="24"/>
        </w:rPr>
        <w:t>已知</w:t>
      </w:r>
      <w:r>
        <w:rPr>
          <w:sz w:val="24"/>
          <w:szCs w:val="24"/>
        </w:rPr>
        <w:t>腐蚀性阳性的参考物质，检测</w:t>
      </w:r>
      <w:r>
        <w:rPr>
          <w:rFonts w:hint="eastAsia"/>
          <w:sz w:val="24"/>
          <w:szCs w:val="24"/>
        </w:rPr>
        <w:t>其TER结果</w:t>
      </w:r>
      <w:r>
        <w:rPr>
          <w:sz w:val="24"/>
          <w:szCs w:val="24"/>
        </w:rPr>
        <w:t>均超过</w:t>
      </w:r>
      <w:r>
        <w:rPr>
          <w:rFonts w:hint="eastAsia"/>
          <w:sz w:val="24"/>
          <w:szCs w:val="24"/>
        </w:rPr>
        <w:t>5</w:t>
      </w:r>
      <w:r>
        <w:rPr>
          <w:sz w:val="24"/>
          <w:szCs w:val="24"/>
        </w:rPr>
        <w:t>kΩ</w:t>
      </w:r>
      <w:r>
        <w:rPr>
          <w:rFonts w:hint="eastAsia"/>
          <w:sz w:val="24"/>
          <w:szCs w:val="24"/>
        </w:rPr>
        <w:t>且</w:t>
      </w:r>
      <w:r>
        <w:rPr>
          <w:sz w:val="24"/>
          <w:szCs w:val="24"/>
        </w:rPr>
        <w:t>肉眼观察</w:t>
      </w:r>
      <w:r>
        <w:rPr>
          <w:rFonts w:hint="eastAsia"/>
          <w:sz w:val="24"/>
          <w:szCs w:val="24"/>
        </w:rPr>
        <w:t>皮片无</w:t>
      </w:r>
      <w:r>
        <w:rPr>
          <w:sz w:val="24"/>
          <w:szCs w:val="24"/>
        </w:rPr>
        <w:t>损伤</w:t>
      </w:r>
      <w:r>
        <w:rPr>
          <w:rFonts w:hint="eastAsia"/>
          <w:sz w:val="24"/>
          <w:szCs w:val="24"/>
        </w:rPr>
        <w:t>。</w:t>
      </w:r>
      <w:r>
        <w:rPr>
          <w:sz w:val="24"/>
          <w:szCs w:val="24"/>
        </w:rPr>
        <w:t>因此，我们在</w:t>
      </w:r>
      <w:r>
        <w:rPr>
          <w:rFonts w:hint="eastAsia"/>
          <w:sz w:val="24"/>
          <w:szCs w:val="24"/>
        </w:rPr>
        <w:t>设计</w:t>
      </w:r>
      <w:r>
        <w:rPr>
          <w:sz w:val="24"/>
          <w:szCs w:val="24"/>
        </w:rPr>
        <w:t>试验方案时，设定了</w:t>
      </w:r>
      <w:r>
        <w:rPr>
          <w:rFonts w:hint="eastAsia"/>
          <w:sz w:val="24"/>
          <w:szCs w:val="24"/>
        </w:rPr>
        <w:t>5种判定</w:t>
      </w:r>
      <w:r>
        <w:rPr>
          <w:sz w:val="24"/>
          <w:szCs w:val="24"/>
        </w:rPr>
        <w:t>调整方案，具体描述如下：</w:t>
      </w:r>
    </w:p>
    <w:p>
      <w:pPr>
        <w:spacing w:line="400" w:lineRule="exact"/>
        <w:ind w:left="105" w:leftChars="50" w:firstLine="480" w:firstLineChars="200"/>
        <w:rPr>
          <w:sz w:val="24"/>
          <w:szCs w:val="24"/>
          <w:lang w:val="el-GR"/>
        </w:rPr>
      </w:pPr>
      <w:r>
        <w:rPr>
          <w:rFonts w:hint="eastAsia"/>
          <w:sz w:val="24"/>
          <w:szCs w:val="24"/>
          <w:lang w:val="el-GR"/>
        </w:rPr>
        <w:t>标准方案</w:t>
      </w:r>
      <w:r>
        <w:rPr>
          <w:sz w:val="24"/>
          <w:szCs w:val="24"/>
          <w:lang w:val="el-GR"/>
        </w:rPr>
        <w:t>S</w:t>
      </w:r>
      <w:r>
        <w:rPr>
          <w:rFonts w:hint="eastAsia"/>
          <w:sz w:val="24"/>
          <w:szCs w:val="24"/>
          <w:lang w:val="el-GR"/>
        </w:rPr>
        <w:t>：完全按</w:t>
      </w:r>
      <w:r>
        <w:rPr>
          <w:sz w:val="24"/>
          <w:szCs w:val="24"/>
          <w:lang w:val="el-GR"/>
        </w:rPr>
        <w:t>OECD TG430</w:t>
      </w:r>
      <w:r>
        <w:rPr>
          <w:rFonts w:hint="eastAsia"/>
          <w:sz w:val="24"/>
          <w:szCs w:val="24"/>
          <w:lang w:val="el-GR"/>
        </w:rPr>
        <w:t>的判定程序，</w:t>
      </w:r>
      <w:r>
        <w:rPr>
          <w:sz w:val="24"/>
          <w:szCs w:val="24"/>
          <w:lang w:val="el-GR"/>
        </w:rPr>
        <w:t>TER&gt;5kΩ</w:t>
      </w:r>
      <w:r>
        <w:rPr>
          <w:rFonts w:hint="eastAsia"/>
          <w:sz w:val="24"/>
          <w:szCs w:val="24"/>
          <w:lang w:val="el-GR"/>
        </w:rPr>
        <w:t>为非腐蚀性（</w:t>
      </w:r>
      <w:r>
        <w:rPr>
          <w:sz w:val="24"/>
          <w:szCs w:val="24"/>
          <w:lang w:val="el-GR"/>
        </w:rPr>
        <w:t>NC</w:t>
      </w:r>
      <w:r>
        <w:rPr>
          <w:rFonts w:hint="eastAsia"/>
          <w:sz w:val="24"/>
          <w:szCs w:val="24"/>
          <w:lang w:val="el-GR"/>
        </w:rPr>
        <w:t>）；对于</w:t>
      </w:r>
      <w:r>
        <w:rPr>
          <w:sz w:val="24"/>
          <w:szCs w:val="24"/>
          <w:lang w:val="el-GR"/>
        </w:rPr>
        <w:t>TER</w:t>
      </w:r>
      <w:r>
        <w:rPr>
          <w:rFonts w:hint="eastAsia"/>
          <w:sz w:val="24"/>
          <w:szCs w:val="24"/>
          <w:lang w:val="el-GR"/>
        </w:rPr>
        <w:t>≤</w:t>
      </w:r>
      <w:r>
        <w:rPr>
          <w:sz w:val="24"/>
          <w:szCs w:val="24"/>
          <w:lang w:val="el-GR"/>
        </w:rPr>
        <w:t>5kΩ</w:t>
      </w:r>
      <w:r>
        <w:rPr>
          <w:rFonts w:hint="eastAsia"/>
          <w:sz w:val="24"/>
          <w:szCs w:val="24"/>
          <w:lang w:val="el-GR"/>
        </w:rPr>
        <w:t>且肉眼观察皮片有明显损伤判为腐蚀性（</w:t>
      </w:r>
      <w:r>
        <w:rPr>
          <w:sz w:val="24"/>
          <w:szCs w:val="24"/>
          <w:lang w:val="el-GR"/>
        </w:rPr>
        <w:t>C</w:t>
      </w:r>
      <w:r>
        <w:rPr>
          <w:rFonts w:hint="eastAsia"/>
          <w:sz w:val="24"/>
          <w:szCs w:val="24"/>
          <w:lang w:val="el-GR"/>
        </w:rPr>
        <w:t>）；</w:t>
      </w:r>
      <w:r>
        <w:rPr>
          <w:sz w:val="24"/>
          <w:szCs w:val="24"/>
          <w:lang w:val="el-GR"/>
        </w:rPr>
        <w:t>TER</w:t>
      </w:r>
      <w:r>
        <w:rPr>
          <w:rFonts w:hint="eastAsia"/>
          <w:sz w:val="24"/>
          <w:szCs w:val="24"/>
          <w:lang w:val="el-GR"/>
        </w:rPr>
        <w:t>≤</w:t>
      </w:r>
      <w:r>
        <w:rPr>
          <w:sz w:val="24"/>
          <w:szCs w:val="24"/>
          <w:lang w:val="el-GR"/>
        </w:rPr>
        <w:t>5kΩ</w:t>
      </w:r>
      <w:r>
        <w:rPr>
          <w:rFonts w:hint="eastAsia"/>
          <w:sz w:val="24"/>
          <w:szCs w:val="24"/>
          <w:lang w:val="el-GR"/>
        </w:rPr>
        <w:t>且肉眼观察皮片没有明显损伤的进行染料渗透量测定；染料渗透量大于或等于</w:t>
      </w:r>
      <w:r>
        <w:rPr>
          <w:sz w:val="24"/>
          <w:szCs w:val="24"/>
          <w:lang w:val="el-GR"/>
        </w:rPr>
        <w:t>10M</w:t>
      </w:r>
      <w:r>
        <w:rPr>
          <w:rFonts w:hint="eastAsia"/>
          <w:sz w:val="24"/>
          <w:szCs w:val="24"/>
          <w:lang w:val="el-GR"/>
        </w:rPr>
        <w:t>盐酸的为</w:t>
      </w:r>
      <w:r>
        <w:rPr>
          <w:sz w:val="24"/>
          <w:szCs w:val="24"/>
          <w:lang w:val="el-GR"/>
        </w:rPr>
        <w:t>C</w:t>
      </w:r>
      <w:r>
        <w:rPr>
          <w:rFonts w:hint="eastAsia"/>
          <w:sz w:val="24"/>
          <w:szCs w:val="24"/>
          <w:lang w:val="el-GR"/>
        </w:rPr>
        <w:t>，染料渗透量小于</w:t>
      </w:r>
      <w:r>
        <w:rPr>
          <w:sz w:val="24"/>
          <w:szCs w:val="24"/>
          <w:lang w:val="el-GR"/>
        </w:rPr>
        <w:t>10M</w:t>
      </w:r>
      <w:r>
        <w:rPr>
          <w:rFonts w:hint="eastAsia"/>
          <w:sz w:val="24"/>
          <w:szCs w:val="24"/>
          <w:lang w:val="el-GR"/>
        </w:rPr>
        <w:t>盐酸的为</w:t>
      </w:r>
      <w:r>
        <w:rPr>
          <w:sz w:val="24"/>
          <w:szCs w:val="24"/>
          <w:lang w:val="el-GR"/>
        </w:rPr>
        <w:t>NC</w:t>
      </w:r>
      <w:r>
        <w:rPr>
          <w:rFonts w:hint="eastAsia"/>
          <w:sz w:val="24"/>
          <w:szCs w:val="24"/>
          <w:lang w:val="el-GR"/>
        </w:rPr>
        <w:t>。</w:t>
      </w:r>
    </w:p>
    <w:p>
      <w:pPr>
        <w:spacing w:line="400" w:lineRule="exact"/>
        <w:ind w:left="105" w:leftChars="50" w:firstLine="480" w:firstLineChars="200"/>
        <w:rPr>
          <w:sz w:val="24"/>
          <w:szCs w:val="24"/>
          <w:lang w:val="el-GR"/>
        </w:rPr>
      </w:pPr>
      <w:r>
        <w:rPr>
          <w:rFonts w:hint="eastAsia"/>
          <w:sz w:val="24"/>
          <w:szCs w:val="24"/>
          <w:lang w:val="el-GR"/>
        </w:rPr>
        <w:t>调整方案</w:t>
      </w:r>
      <w:r>
        <w:rPr>
          <w:sz w:val="24"/>
          <w:szCs w:val="24"/>
          <w:lang w:val="el-GR"/>
        </w:rPr>
        <w:t>A</w:t>
      </w:r>
      <w:r>
        <w:rPr>
          <w:rFonts w:hint="eastAsia"/>
          <w:sz w:val="24"/>
          <w:szCs w:val="24"/>
          <w:lang w:val="el-GR"/>
        </w:rPr>
        <w:t>：程序同方案</w:t>
      </w:r>
      <w:r>
        <w:rPr>
          <w:sz w:val="24"/>
          <w:szCs w:val="24"/>
          <w:lang w:val="el-GR"/>
        </w:rPr>
        <w:t>S</w:t>
      </w:r>
      <w:r>
        <w:rPr>
          <w:rFonts w:hint="eastAsia"/>
          <w:sz w:val="24"/>
          <w:szCs w:val="24"/>
          <w:lang w:val="el-GR"/>
        </w:rPr>
        <w:t>，而判定界值改为</w:t>
      </w:r>
      <w:r>
        <w:rPr>
          <w:sz w:val="24"/>
          <w:szCs w:val="24"/>
          <w:lang w:val="el-GR"/>
        </w:rPr>
        <w:t>15kΩ</w:t>
      </w:r>
      <w:r>
        <w:rPr>
          <w:rFonts w:hint="eastAsia"/>
          <w:sz w:val="24"/>
          <w:szCs w:val="24"/>
          <w:lang w:val="el-GR"/>
        </w:rPr>
        <w:t>。</w:t>
      </w:r>
    </w:p>
    <w:p>
      <w:pPr>
        <w:spacing w:line="400" w:lineRule="exact"/>
        <w:ind w:left="105" w:leftChars="50" w:firstLine="480" w:firstLineChars="200"/>
        <w:rPr>
          <w:sz w:val="24"/>
          <w:szCs w:val="24"/>
          <w:lang w:val="el-GR"/>
        </w:rPr>
      </w:pPr>
      <w:r>
        <w:rPr>
          <w:rFonts w:hint="eastAsia"/>
          <w:sz w:val="24"/>
          <w:szCs w:val="24"/>
          <w:lang w:val="el-GR"/>
        </w:rPr>
        <w:t>调整方案</w:t>
      </w:r>
      <w:r>
        <w:rPr>
          <w:sz w:val="24"/>
          <w:szCs w:val="24"/>
          <w:lang w:val="el-GR"/>
        </w:rPr>
        <w:t>B</w:t>
      </w:r>
      <w:r>
        <w:rPr>
          <w:rFonts w:hint="eastAsia"/>
          <w:sz w:val="24"/>
          <w:szCs w:val="24"/>
          <w:lang w:val="el-GR"/>
        </w:rPr>
        <w:t>：</w:t>
      </w:r>
      <w:r>
        <w:rPr>
          <w:sz w:val="24"/>
          <w:szCs w:val="24"/>
          <w:lang w:val="el-GR"/>
        </w:rPr>
        <w:t>TER&gt;15kΩ</w:t>
      </w:r>
      <w:r>
        <w:rPr>
          <w:rFonts w:hint="eastAsia"/>
          <w:sz w:val="24"/>
          <w:szCs w:val="24"/>
          <w:lang w:val="el-GR"/>
        </w:rPr>
        <w:t>判定为</w:t>
      </w:r>
      <w:r>
        <w:rPr>
          <w:sz w:val="24"/>
          <w:szCs w:val="24"/>
          <w:lang w:val="el-GR"/>
        </w:rPr>
        <w:t>NC</w:t>
      </w:r>
      <w:r>
        <w:rPr>
          <w:rFonts w:hint="eastAsia"/>
          <w:sz w:val="24"/>
          <w:szCs w:val="24"/>
          <w:lang w:val="el-GR"/>
        </w:rPr>
        <w:t>，</w:t>
      </w:r>
      <w:r>
        <w:rPr>
          <w:sz w:val="24"/>
          <w:szCs w:val="24"/>
          <w:lang w:val="el-GR"/>
        </w:rPr>
        <w:t>TER&lt;5kΩ</w:t>
      </w:r>
      <w:r>
        <w:rPr>
          <w:rFonts w:hint="eastAsia"/>
          <w:sz w:val="24"/>
          <w:szCs w:val="24"/>
          <w:lang w:val="el-GR"/>
        </w:rPr>
        <w:t>且</w:t>
      </w:r>
      <w:r>
        <w:rPr>
          <w:sz w:val="24"/>
          <w:szCs w:val="24"/>
          <w:lang w:val="el-GR"/>
        </w:rPr>
        <w:t>肉眼观察皮片有明显损伤判定</w:t>
      </w:r>
      <w:r>
        <w:rPr>
          <w:rFonts w:hint="eastAsia"/>
          <w:sz w:val="24"/>
          <w:szCs w:val="24"/>
          <w:lang w:val="el-GR"/>
        </w:rPr>
        <w:t>为</w:t>
      </w:r>
      <w:r>
        <w:rPr>
          <w:sz w:val="24"/>
          <w:szCs w:val="24"/>
          <w:lang w:val="el-GR"/>
        </w:rPr>
        <w:t>C</w:t>
      </w:r>
      <w:r>
        <w:rPr>
          <w:rFonts w:hint="eastAsia"/>
          <w:sz w:val="24"/>
          <w:szCs w:val="24"/>
          <w:lang w:val="el-GR"/>
        </w:rPr>
        <w:t>；</w:t>
      </w:r>
      <w:r>
        <w:rPr>
          <w:sz w:val="24"/>
          <w:szCs w:val="24"/>
          <w:lang w:val="el-GR"/>
        </w:rPr>
        <w:t>TER</w:t>
      </w:r>
      <w:r>
        <w:rPr>
          <w:rFonts w:hint="eastAsia"/>
          <w:sz w:val="24"/>
          <w:szCs w:val="24"/>
          <w:lang w:val="el-GR"/>
        </w:rPr>
        <w:t>为</w:t>
      </w:r>
      <w:r>
        <w:rPr>
          <w:sz w:val="24"/>
          <w:szCs w:val="24"/>
          <w:lang w:val="el-GR"/>
        </w:rPr>
        <w:t>5-15kΩ</w:t>
      </w:r>
      <w:r>
        <w:rPr>
          <w:rFonts w:hint="eastAsia"/>
          <w:sz w:val="24"/>
          <w:szCs w:val="24"/>
          <w:lang w:val="el-GR"/>
        </w:rPr>
        <w:t>或</w:t>
      </w:r>
      <w:r>
        <w:rPr>
          <w:sz w:val="24"/>
          <w:szCs w:val="24"/>
          <w:lang w:val="el-GR"/>
        </w:rPr>
        <w:t>3</w:t>
      </w:r>
      <w:r>
        <w:rPr>
          <w:rFonts w:hint="eastAsia"/>
          <w:sz w:val="24"/>
          <w:szCs w:val="24"/>
          <w:lang w:val="el-GR"/>
        </w:rPr>
        <w:t>个平行样的</w:t>
      </w:r>
      <w:r>
        <w:rPr>
          <w:sz w:val="24"/>
          <w:szCs w:val="24"/>
          <w:lang w:val="el-GR"/>
        </w:rPr>
        <w:t>TER</w:t>
      </w:r>
      <w:r>
        <w:rPr>
          <w:rFonts w:hint="eastAsia"/>
          <w:sz w:val="24"/>
          <w:szCs w:val="24"/>
          <w:lang w:val="el-GR"/>
        </w:rPr>
        <w:t>值在界值上下波动的或肉眼可见皮片明显破损、变色、变硬的情况，均为可疑情况，进行染料渗透量测定，染料渗透量大于或等于</w:t>
      </w:r>
      <w:r>
        <w:rPr>
          <w:sz w:val="24"/>
          <w:szCs w:val="24"/>
          <w:lang w:val="el-GR"/>
        </w:rPr>
        <w:t>10M</w:t>
      </w:r>
      <w:r>
        <w:rPr>
          <w:rFonts w:hint="eastAsia"/>
          <w:sz w:val="24"/>
          <w:szCs w:val="24"/>
          <w:lang w:val="el-GR"/>
        </w:rPr>
        <w:t>盐酸的为</w:t>
      </w:r>
      <w:r>
        <w:rPr>
          <w:sz w:val="24"/>
          <w:szCs w:val="24"/>
          <w:lang w:val="el-GR"/>
        </w:rPr>
        <w:t>C</w:t>
      </w:r>
      <w:r>
        <w:rPr>
          <w:rFonts w:hint="eastAsia"/>
          <w:sz w:val="24"/>
          <w:szCs w:val="24"/>
          <w:lang w:val="el-GR"/>
        </w:rPr>
        <w:t>，染料渗透量小于</w:t>
      </w:r>
      <w:r>
        <w:rPr>
          <w:sz w:val="24"/>
          <w:szCs w:val="24"/>
          <w:lang w:val="el-GR"/>
        </w:rPr>
        <w:t>10M</w:t>
      </w:r>
      <w:r>
        <w:rPr>
          <w:rFonts w:hint="eastAsia"/>
          <w:sz w:val="24"/>
          <w:szCs w:val="24"/>
          <w:lang w:val="el-GR"/>
        </w:rPr>
        <w:t>盐酸的为</w:t>
      </w:r>
      <w:r>
        <w:rPr>
          <w:sz w:val="24"/>
          <w:szCs w:val="24"/>
          <w:lang w:val="el-GR"/>
        </w:rPr>
        <w:t>NC</w:t>
      </w:r>
      <w:r>
        <w:rPr>
          <w:rFonts w:hint="eastAsia"/>
          <w:sz w:val="24"/>
          <w:szCs w:val="24"/>
          <w:lang w:val="el-GR"/>
        </w:rPr>
        <w:t>。</w:t>
      </w:r>
    </w:p>
    <w:p>
      <w:pPr>
        <w:spacing w:line="400" w:lineRule="exact"/>
        <w:ind w:left="105" w:leftChars="50" w:firstLine="480" w:firstLineChars="200"/>
        <w:rPr>
          <w:rFonts w:hint="eastAsia"/>
          <w:sz w:val="24"/>
          <w:szCs w:val="24"/>
          <w:lang w:val="el-GR"/>
        </w:rPr>
      </w:pPr>
      <w:r>
        <w:rPr>
          <w:rFonts w:hint="eastAsia"/>
          <w:sz w:val="24"/>
          <w:szCs w:val="24"/>
          <w:lang w:val="el-GR"/>
        </w:rPr>
        <w:t>调整方案C：程序同方案S，而染料渗透量判定标准为8M盐酸。</w:t>
      </w:r>
    </w:p>
    <w:p>
      <w:pPr>
        <w:spacing w:line="400" w:lineRule="exact"/>
        <w:ind w:left="105" w:leftChars="50" w:firstLine="480" w:firstLineChars="200"/>
        <w:rPr>
          <w:rFonts w:hint="eastAsia"/>
          <w:sz w:val="24"/>
          <w:szCs w:val="24"/>
          <w:lang w:val="el-GR"/>
        </w:rPr>
      </w:pPr>
      <w:r>
        <w:rPr>
          <w:rFonts w:hint="eastAsia"/>
          <w:sz w:val="24"/>
          <w:szCs w:val="24"/>
          <w:lang w:val="el-GR"/>
        </w:rPr>
        <w:t>调整方案D：程序同方案A，而染料渗透量判定标准为8M盐酸。</w:t>
      </w:r>
    </w:p>
    <w:p>
      <w:pPr>
        <w:spacing w:line="400" w:lineRule="exact"/>
        <w:ind w:left="105" w:leftChars="50" w:firstLine="480" w:firstLineChars="200"/>
        <w:rPr>
          <w:sz w:val="24"/>
          <w:szCs w:val="24"/>
          <w:lang w:val="el-GR"/>
        </w:rPr>
      </w:pPr>
      <w:r>
        <w:rPr>
          <w:rFonts w:hint="eastAsia"/>
          <w:sz w:val="24"/>
          <w:szCs w:val="24"/>
          <w:lang w:val="el-GR"/>
        </w:rPr>
        <w:t>调整方案E：程序同方案B，而染料渗透量判定标准为8M盐酸。</w:t>
      </w:r>
    </w:p>
    <w:p>
      <w:pPr>
        <w:spacing w:line="400" w:lineRule="exact"/>
        <w:ind w:left="105" w:leftChars="50" w:firstLine="480" w:firstLineChars="200"/>
        <w:rPr>
          <w:rFonts w:hint="eastAsia"/>
          <w:sz w:val="24"/>
          <w:szCs w:val="24"/>
          <w:lang w:val="el-GR"/>
        </w:rPr>
      </w:pPr>
      <w:r>
        <w:rPr>
          <w:rFonts w:hint="eastAsia"/>
          <w:sz w:val="24"/>
          <w:szCs w:val="24"/>
          <w:lang w:val="el-GR"/>
        </w:rPr>
        <w:t>通过</w:t>
      </w:r>
      <w:r>
        <w:rPr>
          <w:sz w:val="24"/>
          <w:szCs w:val="24"/>
          <w:lang w:val="el-GR"/>
        </w:rPr>
        <w:t>对</w:t>
      </w:r>
      <w:r>
        <w:rPr>
          <w:rFonts w:hint="eastAsia"/>
          <w:sz w:val="24"/>
          <w:szCs w:val="24"/>
          <w:lang w:val="el-GR"/>
        </w:rPr>
        <w:t>各</w:t>
      </w:r>
      <w:r>
        <w:rPr>
          <w:sz w:val="24"/>
          <w:szCs w:val="24"/>
          <w:lang w:val="el-GR"/>
        </w:rPr>
        <w:t>判定方案进行</w:t>
      </w:r>
      <w:r>
        <w:rPr>
          <w:rFonts w:hint="eastAsia"/>
          <w:sz w:val="24"/>
          <w:szCs w:val="24"/>
          <w:lang w:val="el-GR"/>
        </w:rPr>
        <w:t>真实性</w:t>
      </w:r>
      <w:r>
        <w:rPr>
          <w:sz w:val="24"/>
          <w:szCs w:val="24"/>
          <w:lang w:val="el-GR"/>
        </w:rPr>
        <w:t>指标分析</w:t>
      </w:r>
      <w:r>
        <w:rPr>
          <w:rFonts w:hint="eastAsia"/>
          <w:sz w:val="24"/>
          <w:szCs w:val="24"/>
          <w:lang w:val="el-GR"/>
        </w:rPr>
        <w:t>表明</w:t>
      </w:r>
      <w:r>
        <w:rPr>
          <w:sz w:val="24"/>
          <w:szCs w:val="24"/>
          <w:lang w:val="el-GR"/>
        </w:rPr>
        <w:t>，</w:t>
      </w:r>
      <w:r>
        <w:rPr>
          <w:rFonts w:hint="eastAsia"/>
          <w:sz w:val="24"/>
          <w:szCs w:val="24"/>
          <w:lang w:val="el-GR"/>
        </w:rPr>
        <w:t>几种方案的判定结果经过配对</w:t>
      </w:r>
      <w:r>
        <w:rPr>
          <w:szCs w:val="21"/>
        </w:rPr>
        <w:t>χ</w:t>
      </w:r>
      <w:r>
        <w:rPr>
          <w:szCs w:val="21"/>
          <w:vertAlign w:val="superscript"/>
        </w:rPr>
        <w:t>2</w:t>
      </w:r>
      <w:r>
        <w:rPr>
          <w:rFonts w:hint="eastAsia"/>
          <w:sz w:val="24"/>
          <w:szCs w:val="24"/>
          <w:lang w:val="el-GR"/>
        </w:rPr>
        <w:t>检验与这18种化学物质实际对人体皮肤的</w:t>
      </w:r>
      <w:r>
        <w:rPr>
          <w:sz w:val="24"/>
          <w:szCs w:val="24"/>
          <w:lang w:val="el-GR"/>
        </w:rPr>
        <w:t>参考</w:t>
      </w:r>
      <w:r>
        <w:rPr>
          <w:rFonts w:hint="eastAsia"/>
          <w:sz w:val="24"/>
          <w:szCs w:val="24"/>
          <w:lang w:val="el-GR"/>
        </w:rPr>
        <w:t>腐蚀性结果相比，均无统计学差异（P&gt;0.05），其中以E方案的效能最高（</w:t>
      </w:r>
      <w:r>
        <w:rPr>
          <w:sz w:val="24"/>
          <w:szCs w:val="24"/>
          <w:lang w:val="el-GR"/>
        </w:rPr>
        <w:t>结果</w:t>
      </w:r>
      <w:r>
        <w:rPr>
          <w:rFonts w:hint="eastAsia"/>
          <w:sz w:val="24"/>
          <w:szCs w:val="24"/>
          <w:lang w:val="el-GR"/>
        </w:rPr>
        <w:t>见</w:t>
      </w:r>
      <w:r>
        <w:rPr>
          <w:sz w:val="24"/>
          <w:szCs w:val="24"/>
          <w:lang w:val="el-GR"/>
        </w:rPr>
        <w:t>表</w:t>
      </w:r>
      <w:r>
        <w:rPr>
          <w:rFonts w:hint="eastAsia"/>
          <w:sz w:val="24"/>
          <w:szCs w:val="24"/>
          <w:lang w:val="el-GR"/>
        </w:rPr>
        <w:t>1）</w:t>
      </w:r>
      <w:r>
        <w:rPr>
          <w:sz w:val="24"/>
          <w:szCs w:val="24"/>
          <w:lang w:val="el-GR"/>
        </w:rPr>
        <w:t>。</w:t>
      </w:r>
    </w:p>
    <w:p>
      <w:pPr>
        <w:spacing w:before="156" w:beforeLines="50" w:line="360" w:lineRule="auto"/>
        <w:jc w:val="center"/>
        <w:rPr>
          <w:rFonts w:hint="eastAsia" w:eastAsia="黑体"/>
          <w:sz w:val="24"/>
        </w:rPr>
      </w:pPr>
      <w:r>
        <w:rPr>
          <w:rFonts w:hint="eastAsia" w:eastAsia="黑体"/>
          <w:sz w:val="24"/>
        </w:rPr>
        <w:t>表</w:t>
      </w:r>
      <w:r>
        <w:rPr>
          <w:rFonts w:eastAsia="黑体"/>
          <w:sz w:val="24"/>
        </w:rPr>
        <w:t>1</w:t>
      </w:r>
      <w:r>
        <w:rPr>
          <w:rFonts w:hint="eastAsia" w:eastAsia="黑体"/>
          <w:sz w:val="24"/>
        </w:rPr>
        <w:t xml:space="preserve"> 各</w:t>
      </w:r>
      <w:r>
        <w:rPr>
          <w:rFonts w:eastAsia="黑体"/>
          <w:sz w:val="24"/>
        </w:rPr>
        <w:t>判定</w:t>
      </w:r>
      <w:r>
        <w:rPr>
          <w:rFonts w:hint="eastAsia" w:eastAsia="黑体"/>
          <w:sz w:val="24"/>
        </w:rPr>
        <w:t>方案对大鼠经皮电阻试验结果判定</w:t>
      </w:r>
      <w:r>
        <w:rPr>
          <w:rFonts w:eastAsia="黑体"/>
          <w:sz w:val="24"/>
        </w:rPr>
        <w:t>的真实性</w:t>
      </w:r>
      <w:r>
        <w:rPr>
          <w:rFonts w:hint="eastAsia" w:eastAsia="黑体"/>
          <w:sz w:val="24"/>
        </w:rPr>
        <w:t>指标</w:t>
      </w:r>
      <w:r>
        <w:rPr>
          <w:rFonts w:eastAsia="黑体"/>
          <w:sz w:val="24"/>
        </w:rPr>
        <w:t>分析</w:t>
      </w:r>
    </w:p>
    <w:tbl>
      <w:tblPr>
        <w:tblStyle w:val="10"/>
        <w:tblW w:w="8129" w:type="dxa"/>
        <w:jc w:val="center"/>
        <w:tblInd w:w="0" w:type="dxa"/>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7"/>
        <w:gridCol w:w="1287"/>
        <w:gridCol w:w="1287"/>
        <w:gridCol w:w="1287"/>
        <w:gridCol w:w="1288"/>
        <w:gridCol w:w="1693"/>
      </w:tblGrid>
      <w:tr>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jc w:val="center"/>
        </w:trPr>
        <w:tc>
          <w:tcPr>
            <w:tcW w:w="1287" w:type="dxa"/>
            <w:vMerge w:val="restart"/>
            <w:tcBorders>
              <w:top w:val="single" w:color="auto" w:sz="12" w:space="0"/>
              <w:bottom w:val="single" w:color="7F7F7F" w:sz="4" w:space="0"/>
            </w:tcBorders>
            <w:vAlign w:val="center"/>
          </w:tcPr>
          <w:p>
            <w:pPr>
              <w:spacing w:line="360" w:lineRule="auto"/>
              <w:jc w:val="center"/>
              <w:rPr>
                <w:rFonts w:ascii="黑体" w:hAnsi="黑体" w:eastAsia="黑体"/>
                <w:b/>
                <w:bCs/>
                <w:szCs w:val="21"/>
                <w:lang w:val="el-GR"/>
              </w:rPr>
            </w:pPr>
            <w:r>
              <w:rPr>
                <w:rFonts w:hint="eastAsia" w:ascii="黑体" w:hAnsi="黑体" w:eastAsia="黑体"/>
                <w:b/>
                <w:bCs/>
                <w:szCs w:val="21"/>
                <w:lang w:val="el-GR"/>
              </w:rPr>
              <w:t>方案</w:t>
            </w:r>
          </w:p>
        </w:tc>
        <w:tc>
          <w:tcPr>
            <w:tcW w:w="6842" w:type="dxa"/>
            <w:gridSpan w:val="5"/>
            <w:tcBorders>
              <w:top w:val="single" w:color="auto" w:sz="12" w:space="0"/>
              <w:bottom w:val="single" w:color="auto" w:sz="12" w:space="0"/>
            </w:tcBorders>
            <w:vAlign w:val="center"/>
          </w:tcPr>
          <w:p>
            <w:pPr>
              <w:spacing w:line="360" w:lineRule="auto"/>
              <w:jc w:val="center"/>
              <w:rPr>
                <w:rFonts w:hint="eastAsia" w:ascii="黑体" w:hAnsi="黑体" w:eastAsia="黑体"/>
                <w:b/>
                <w:bCs/>
                <w:szCs w:val="21"/>
                <w:lang w:val="el-GR"/>
              </w:rPr>
            </w:pPr>
            <w:r>
              <w:rPr>
                <w:rFonts w:hint="eastAsia" w:ascii="黑体" w:hAnsi="黑体" w:eastAsia="黑体"/>
                <w:b/>
                <w:bCs/>
                <w:szCs w:val="21"/>
                <w:lang w:val="el-GR"/>
              </w:rPr>
              <w:t>真实性</w:t>
            </w:r>
            <w:r>
              <w:rPr>
                <w:rFonts w:ascii="黑体" w:hAnsi="黑体" w:eastAsia="黑体"/>
                <w:b/>
                <w:bCs/>
                <w:szCs w:val="21"/>
                <w:lang w:val="el-GR"/>
              </w:rPr>
              <w:t>指标</w:t>
            </w:r>
          </w:p>
        </w:tc>
      </w:tr>
      <w:tr>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1287" w:type="dxa"/>
            <w:vMerge w:val="continue"/>
            <w:tcBorders>
              <w:top w:val="single" w:color="7F7F7F" w:sz="4" w:space="0"/>
              <w:bottom w:val="single" w:color="auto" w:sz="12" w:space="0"/>
            </w:tcBorders>
            <w:vAlign w:val="center"/>
          </w:tcPr>
          <w:p>
            <w:pPr>
              <w:spacing w:line="360" w:lineRule="auto"/>
              <w:jc w:val="center"/>
              <w:rPr>
                <w:rFonts w:ascii="黑体" w:hAnsi="黑体" w:eastAsia="黑体"/>
                <w:b/>
                <w:bCs/>
                <w:szCs w:val="21"/>
                <w:lang w:val="el-GR"/>
              </w:rPr>
            </w:pPr>
          </w:p>
        </w:tc>
        <w:tc>
          <w:tcPr>
            <w:tcW w:w="1287" w:type="dxa"/>
            <w:tcBorders>
              <w:top w:val="single" w:color="auto" w:sz="12" w:space="0"/>
              <w:bottom w:val="single" w:color="auto" w:sz="12" w:space="0"/>
            </w:tcBorders>
            <w:vAlign w:val="center"/>
          </w:tcPr>
          <w:p>
            <w:pPr>
              <w:spacing w:line="360" w:lineRule="auto"/>
              <w:jc w:val="center"/>
              <w:rPr>
                <w:rFonts w:hint="eastAsia" w:ascii="黑体" w:hAnsi="黑体" w:eastAsia="黑体"/>
                <w:szCs w:val="21"/>
                <w:lang w:val="el-GR"/>
              </w:rPr>
            </w:pPr>
            <w:r>
              <w:rPr>
                <w:rFonts w:hint="eastAsia" w:ascii="黑体" w:hAnsi="黑体" w:eastAsia="黑体"/>
                <w:szCs w:val="21"/>
                <w:lang w:val="el-GR"/>
              </w:rPr>
              <w:t>假阳性率</w:t>
            </w:r>
          </w:p>
        </w:tc>
        <w:tc>
          <w:tcPr>
            <w:tcW w:w="1287" w:type="dxa"/>
            <w:tcBorders>
              <w:top w:val="single" w:color="auto" w:sz="12" w:space="0"/>
              <w:bottom w:val="single" w:color="auto" w:sz="12" w:space="0"/>
            </w:tcBorders>
            <w:vAlign w:val="center"/>
          </w:tcPr>
          <w:p>
            <w:pPr>
              <w:spacing w:line="360" w:lineRule="auto"/>
              <w:jc w:val="center"/>
              <w:rPr>
                <w:rFonts w:ascii="黑体" w:hAnsi="黑体" w:eastAsia="黑体"/>
                <w:szCs w:val="21"/>
                <w:lang w:val="el-GR"/>
              </w:rPr>
            </w:pPr>
            <w:r>
              <w:rPr>
                <w:rFonts w:hint="eastAsia" w:ascii="黑体" w:hAnsi="黑体" w:eastAsia="黑体"/>
                <w:szCs w:val="21"/>
                <w:lang w:val="el-GR"/>
              </w:rPr>
              <w:t>假阴性率</w:t>
            </w:r>
          </w:p>
        </w:tc>
        <w:tc>
          <w:tcPr>
            <w:tcW w:w="1287" w:type="dxa"/>
            <w:tcBorders>
              <w:top w:val="single" w:color="auto" w:sz="12" w:space="0"/>
              <w:bottom w:val="single" w:color="auto" w:sz="12" w:space="0"/>
            </w:tcBorders>
            <w:vAlign w:val="center"/>
          </w:tcPr>
          <w:p>
            <w:pPr>
              <w:spacing w:line="360" w:lineRule="auto"/>
              <w:jc w:val="center"/>
              <w:rPr>
                <w:rFonts w:ascii="黑体" w:hAnsi="黑体" w:eastAsia="黑体"/>
                <w:szCs w:val="21"/>
                <w:lang w:val="el-GR"/>
              </w:rPr>
            </w:pPr>
            <w:r>
              <w:rPr>
                <w:rFonts w:hint="eastAsia" w:ascii="黑体" w:hAnsi="黑体" w:eastAsia="黑体"/>
                <w:szCs w:val="21"/>
                <w:lang w:val="el-GR"/>
              </w:rPr>
              <w:t>敏感度</w:t>
            </w:r>
          </w:p>
        </w:tc>
        <w:tc>
          <w:tcPr>
            <w:tcW w:w="1288" w:type="dxa"/>
            <w:tcBorders>
              <w:top w:val="single" w:color="auto" w:sz="12" w:space="0"/>
              <w:bottom w:val="single" w:color="auto" w:sz="12" w:space="0"/>
            </w:tcBorders>
            <w:vAlign w:val="center"/>
          </w:tcPr>
          <w:p>
            <w:pPr>
              <w:spacing w:line="360" w:lineRule="auto"/>
              <w:jc w:val="center"/>
              <w:rPr>
                <w:rFonts w:ascii="黑体" w:hAnsi="黑体" w:eastAsia="黑体"/>
                <w:szCs w:val="21"/>
                <w:lang w:val="el-GR"/>
              </w:rPr>
            </w:pPr>
            <w:r>
              <w:rPr>
                <w:rFonts w:hint="eastAsia" w:ascii="黑体" w:hAnsi="黑体" w:eastAsia="黑体"/>
                <w:szCs w:val="21"/>
                <w:lang w:val="el-GR"/>
              </w:rPr>
              <w:t>特异度</w:t>
            </w:r>
          </w:p>
        </w:tc>
        <w:tc>
          <w:tcPr>
            <w:tcW w:w="1693" w:type="dxa"/>
            <w:tcBorders>
              <w:top w:val="single" w:color="auto" w:sz="12" w:space="0"/>
              <w:bottom w:val="single" w:color="auto" w:sz="12" w:space="0"/>
            </w:tcBorders>
            <w:vAlign w:val="center"/>
          </w:tcPr>
          <w:p>
            <w:pPr>
              <w:spacing w:line="360" w:lineRule="auto"/>
              <w:jc w:val="center"/>
              <w:rPr>
                <w:rFonts w:ascii="黑体" w:hAnsi="黑体" w:eastAsia="黑体"/>
                <w:szCs w:val="21"/>
                <w:lang w:val="el-GR"/>
              </w:rPr>
            </w:pPr>
            <w:r>
              <w:rPr>
                <w:rFonts w:hint="eastAsia" w:ascii="黑体" w:hAnsi="黑体" w:eastAsia="黑体"/>
                <w:szCs w:val="21"/>
                <w:lang w:val="el-GR"/>
              </w:rPr>
              <w:t>配对卡方检验</w:t>
            </w:r>
          </w:p>
        </w:tc>
      </w:tr>
      <w:tr>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287" w:type="dxa"/>
            <w:tcBorders>
              <w:top w:val="single" w:color="auto" w:sz="12" w:space="0"/>
              <w:bottom w:val="nil"/>
            </w:tcBorders>
            <w:vAlign w:val="center"/>
          </w:tcPr>
          <w:p>
            <w:pPr>
              <w:spacing w:line="360" w:lineRule="auto"/>
              <w:jc w:val="center"/>
              <w:rPr>
                <w:b/>
                <w:bCs/>
                <w:sz w:val="24"/>
                <w:szCs w:val="24"/>
                <w:lang w:val="el-GR"/>
              </w:rPr>
            </w:pPr>
            <w:r>
              <w:rPr>
                <w:b/>
                <w:bCs/>
                <w:sz w:val="24"/>
                <w:szCs w:val="24"/>
                <w:lang w:val="el-GR"/>
              </w:rPr>
              <w:t>S</w:t>
            </w:r>
          </w:p>
        </w:tc>
        <w:tc>
          <w:tcPr>
            <w:tcW w:w="1287" w:type="dxa"/>
            <w:tcBorders>
              <w:top w:val="single" w:color="auto" w:sz="12" w:space="0"/>
              <w:bottom w:val="nil"/>
            </w:tcBorders>
            <w:vAlign w:val="center"/>
          </w:tcPr>
          <w:p>
            <w:pPr>
              <w:jc w:val="center"/>
              <w:rPr>
                <w:sz w:val="24"/>
                <w:szCs w:val="24"/>
                <w:lang w:val="el-GR"/>
              </w:rPr>
            </w:pPr>
            <w:r>
              <w:rPr>
                <w:sz w:val="24"/>
                <w:szCs w:val="24"/>
                <w:lang w:val="el-GR"/>
              </w:rPr>
              <w:t>0</w:t>
            </w:r>
          </w:p>
          <w:p>
            <w:pPr>
              <w:jc w:val="center"/>
              <w:rPr>
                <w:sz w:val="24"/>
                <w:szCs w:val="24"/>
                <w:lang w:val="el-GR"/>
              </w:rPr>
            </w:pPr>
            <w:r>
              <w:rPr>
                <w:sz w:val="24"/>
                <w:szCs w:val="24"/>
                <w:lang w:val="el-GR"/>
              </w:rPr>
              <w:t>（0/9）</w:t>
            </w:r>
          </w:p>
        </w:tc>
        <w:tc>
          <w:tcPr>
            <w:tcW w:w="1287" w:type="dxa"/>
            <w:tcBorders>
              <w:top w:val="single" w:color="auto" w:sz="12" w:space="0"/>
              <w:bottom w:val="nil"/>
            </w:tcBorders>
            <w:vAlign w:val="center"/>
          </w:tcPr>
          <w:p>
            <w:pPr>
              <w:jc w:val="center"/>
              <w:rPr>
                <w:sz w:val="24"/>
                <w:szCs w:val="24"/>
                <w:lang w:val="el-GR"/>
              </w:rPr>
            </w:pPr>
            <w:r>
              <w:rPr>
                <w:sz w:val="24"/>
                <w:szCs w:val="24"/>
                <w:lang w:val="el-GR"/>
              </w:rPr>
              <w:t>70%</w:t>
            </w:r>
          </w:p>
          <w:p>
            <w:pPr>
              <w:jc w:val="center"/>
              <w:rPr>
                <w:sz w:val="24"/>
                <w:szCs w:val="24"/>
                <w:lang w:val="el-GR"/>
              </w:rPr>
            </w:pPr>
            <w:r>
              <w:rPr>
                <w:sz w:val="24"/>
                <w:szCs w:val="24"/>
                <w:lang w:val="el-GR"/>
              </w:rPr>
              <w:t>（7/10）</w:t>
            </w:r>
          </w:p>
        </w:tc>
        <w:tc>
          <w:tcPr>
            <w:tcW w:w="1287" w:type="dxa"/>
            <w:tcBorders>
              <w:top w:val="single" w:color="auto" w:sz="12" w:space="0"/>
              <w:bottom w:val="nil"/>
            </w:tcBorders>
            <w:vAlign w:val="center"/>
          </w:tcPr>
          <w:p>
            <w:pPr>
              <w:jc w:val="center"/>
              <w:rPr>
                <w:sz w:val="24"/>
                <w:szCs w:val="24"/>
                <w:lang w:val="el-GR"/>
              </w:rPr>
            </w:pPr>
            <w:r>
              <w:rPr>
                <w:sz w:val="24"/>
                <w:szCs w:val="24"/>
                <w:lang w:val="el-GR"/>
              </w:rPr>
              <w:t>30%</w:t>
            </w:r>
          </w:p>
        </w:tc>
        <w:tc>
          <w:tcPr>
            <w:tcW w:w="1288" w:type="dxa"/>
            <w:tcBorders>
              <w:top w:val="single" w:color="auto" w:sz="12" w:space="0"/>
              <w:bottom w:val="nil"/>
            </w:tcBorders>
            <w:vAlign w:val="center"/>
          </w:tcPr>
          <w:p>
            <w:pPr>
              <w:jc w:val="center"/>
              <w:rPr>
                <w:sz w:val="24"/>
                <w:szCs w:val="24"/>
                <w:lang w:val="el-GR"/>
              </w:rPr>
            </w:pPr>
            <w:r>
              <w:rPr>
                <w:sz w:val="24"/>
                <w:szCs w:val="24"/>
                <w:lang w:val="el-GR"/>
              </w:rPr>
              <w:t>100%</w:t>
            </w:r>
          </w:p>
        </w:tc>
        <w:tc>
          <w:tcPr>
            <w:tcW w:w="1693" w:type="dxa"/>
            <w:tcBorders>
              <w:top w:val="single" w:color="auto" w:sz="12" w:space="0"/>
              <w:bottom w:val="nil"/>
            </w:tcBorders>
            <w:vAlign w:val="center"/>
          </w:tcPr>
          <w:p>
            <w:pPr>
              <w:jc w:val="center"/>
              <w:rPr>
                <w:sz w:val="24"/>
                <w:szCs w:val="24"/>
                <w:lang w:val="el-GR"/>
              </w:rPr>
            </w:pPr>
            <w:r>
              <w:rPr>
                <w:sz w:val="24"/>
                <w:szCs w:val="24"/>
                <w:lang w:val="el-GR"/>
              </w:rPr>
              <w:t>P=0.20</w:t>
            </w:r>
          </w:p>
        </w:tc>
      </w:tr>
      <w:tr>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jc w:val="center"/>
        </w:trPr>
        <w:tc>
          <w:tcPr>
            <w:tcW w:w="1287" w:type="dxa"/>
            <w:tcBorders>
              <w:top w:val="nil"/>
              <w:bottom w:val="nil"/>
            </w:tcBorders>
            <w:vAlign w:val="center"/>
          </w:tcPr>
          <w:p>
            <w:pPr>
              <w:spacing w:line="360" w:lineRule="auto"/>
              <w:jc w:val="center"/>
              <w:rPr>
                <w:b/>
                <w:bCs/>
                <w:sz w:val="24"/>
                <w:szCs w:val="24"/>
                <w:lang w:val="el-GR"/>
              </w:rPr>
            </w:pPr>
            <w:r>
              <w:rPr>
                <w:b/>
                <w:bCs/>
                <w:sz w:val="24"/>
                <w:szCs w:val="24"/>
                <w:lang w:val="el-GR"/>
              </w:rPr>
              <w:t>A</w:t>
            </w:r>
          </w:p>
        </w:tc>
        <w:tc>
          <w:tcPr>
            <w:tcW w:w="1287" w:type="dxa"/>
            <w:tcBorders>
              <w:top w:val="nil"/>
              <w:bottom w:val="nil"/>
            </w:tcBorders>
            <w:vAlign w:val="center"/>
          </w:tcPr>
          <w:p>
            <w:pPr>
              <w:jc w:val="center"/>
              <w:rPr>
                <w:sz w:val="24"/>
                <w:szCs w:val="24"/>
                <w:lang w:val="el-GR"/>
              </w:rPr>
            </w:pPr>
            <w:r>
              <w:rPr>
                <w:sz w:val="24"/>
                <w:szCs w:val="24"/>
                <w:lang w:val="el-GR"/>
              </w:rPr>
              <w:t>11%</w:t>
            </w:r>
          </w:p>
          <w:p>
            <w:pPr>
              <w:jc w:val="center"/>
              <w:rPr>
                <w:sz w:val="24"/>
                <w:szCs w:val="24"/>
                <w:lang w:val="el-GR"/>
              </w:rPr>
            </w:pPr>
            <w:r>
              <w:rPr>
                <w:sz w:val="24"/>
                <w:szCs w:val="24"/>
                <w:lang w:val="el-GR"/>
              </w:rPr>
              <w:t>（1/9）</w:t>
            </w:r>
          </w:p>
        </w:tc>
        <w:tc>
          <w:tcPr>
            <w:tcW w:w="1287" w:type="dxa"/>
            <w:tcBorders>
              <w:top w:val="nil"/>
              <w:bottom w:val="nil"/>
            </w:tcBorders>
            <w:vAlign w:val="center"/>
          </w:tcPr>
          <w:p>
            <w:pPr>
              <w:jc w:val="center"/>
              <w:rPr>
                <w:sz w:val="24"/>
                <w:szCs w:val="24"/>
                <w:lang w:val="el-GR"/>
              </w:rPr>
            </w:pPr>
            <w:r>
              <w:rPr>
                <w:sz w:val="24"/>
                <w:szCs w:val="24"/>
                <w:lang w:val="el-GR"/>
              </w:rPr>
              <w:t>60%</w:t>
            </w:r>
          </w:p>
          <w:p>
            <w:pPr>
              <w:jc w:val="center"/>
              <w:rPr>
                <w:sz w:val="24"/>
                <w:szCs w:val="24"/>
                <w:lang w:val="el-GR"/>
              </w:rPr>
            </w:pPr>
            <w:r>
              <w:rPr>
                <w:sz w:val="24"/>
                <w:szCs w:val="24"/>
                <w:lang w:val="el-GR"/>
              </w:rPr>
              <w:t>（6/10）</w:t>
            </w:r>
          </w:p>
        </w:tc>
        <w:tc>
          <w:tcPr>
            <w:tcW w:w="1287" w:type="dxa"/>
            <w:tcBorders>
              <w:top w:val="nil"/>
              <w:bottom w:val="nil"/>
            </w:tcBorders>
            <w:vAlign w:val="center"/>
          </w:tcPr>
          <w:p>
            <w:pPr>
              <w:jc w:val="center"/>
              <w:rPr>
                <w:sz w:val="24"/>
                <w:szCs w:val="24"/>
                <w:lang w:val="el-GR"/>
              </w:rPr>
            </w:pPr>
            <w:r>
              <w:rPr>
                <w:sz w:val="24"/>
                <w:szCs w:val="24"/>
                <w:lang w:val="el-GR"/>
              </w:rPr>
              <w:t>40%</w:t>
            </w:r>
          </w:p>
        </w:tc>
        <w:tc>
          <w:tcPr>
            <w:tcW w:w="1288" w:type="dxa"/>
            <w:tcBorders>
              <w:top w:val="nil"/>
              <w:bottom w:val="nil"/>
            </w:tcBorders>
            <w:vAlign w:val="center"/>
          </w:tcPr>
          <w:p>
            <w:pPr>
              <w:jc w:val="center"/>
              <w:rPr>
                <w:sz w:val="24"/>
                <w:szCs w:val="24"/>
                <w:lang w:val="el-GR"/>
              </w:rPr>
            </w:pPr>
            <w:r>
              <w:rPr>
                <w:sz w:val="24"/>
                <w:szCs w:val="24"/>
                <w:lang w:val="el-GR"/>
              </w:rPr>
              <w:t>89%</w:t>
            </w:r>
          </w:p>
        </w:tc>
        <w:tc>
          <w:tcPr>
            <w:tcW w:w="1693" w:type="dxa"/>
            <w:tcBorders>
              <w:top w:val="nil"/>
              <w:bottom w:val="nil"/>
            </w:tcBorders>
            <w:vAlign w:val="center"/>
          </w:tcPr>
          <w:p>
            <w:pPr>
              <w:jc w:val="center"/>
              <w:rPr>
                <w:sz w:val="24"/>
                <w:szCs w:val="24"/>
                <w:lang w:val="el-GR"/>
              </w:rPr>
            </w:pPr>
            <w:r>
              <w:rPr>
                <w:sz w:val="24"/>
                <w:szCs w:val="24"/>
                <w:lang w:val="el-GR"/>
              </w:rPr>
              <w:t>P=0.34</w:t>
            </w:r>
          </w:p>
        </w:tc>
      </w:tr>
      <w:tr>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jc w:val="center"/>
        </w:trPr>
        <w:tc>
          <w:tcPr>
            <w:tcW w:w="1287" w:type="dxa"/>
            <w:tcBorders>
              <w:top w:val="nil"/>
              <w:bottom w:val="nil"/>
            </w:tcBorders>
            <w:vAlign w:val="center"/>
          </w:tcPr>
          <w:p>
            <w:pPr>
              <w:spacing w:line="360" w:lineRule="auto"/>
              <w:jc w:val="center"/>
              <w:rPr>
                <w:b/>
                <w:bCs/>
                <w:sz w:val="24"/>
                <w:szCs w:val="24"/>
                <w:lang w:val="el-GR"/>
              </w:rPr>
            </w:pPr>
            <w:r>
              <w:rPr>
                <w:b/>
                <w:bCs/>
                <w:sz w:val="24"/>
                <w:szCs w:val="24"/>
                <w:lang w:val="el-GR"/>
              </w:rPr>
              <w:t>B</w:t>
            </w:r>
          </w:p>
        </w:tc>
        <w:tc>
          <w:tcPr>
            <w:tcW w:w="1287" w:type="dxa"/>
            <w:tcBorders>
              <w:top w:val="nil"/>
              <w:bottom w:val="nil"/>
            </w:tcBorders>
            <w:vAlign w:val="center"/>
          </w:tcPr>
          <w:p>
            <w:pPr>
              <w:jc w:val="center"/>
              <w:rPr>
                <w:sz w:val="24"/>
                <w:szCs w:val="24"/>
                <w:lang w:val="el-GR"/>
              </w:rPr>
            </w:pPr>
            <w:r>
              <w:rPr>
                <w:sz w:val="24"/>
                <w:szCs w:val="24"/>
                <w:lang w:val="el-GR"/>
              </w:rPr>
              <w:t>11%</w:t>
            </w:r>
          </w:p>
          <w:p>
            <w:pPr>
              <w:jc w:val="center"/>
              <w:rPr>
                <w:sz w:val="24"/>
                <w:szCs w:val="24"/>
                <w:lang w:val="el-GR"/>
              </w:rPr>
            </w:pPr>
            <w:r>
              <w:rPr>
                <w:sz w:val="24"/>
                <w:szCs w:val="24"/>
                <w:lang w:val="el-GR"/>
              </w:rPr>
              <w:t>（1/9）</w:t>
            </w:r>
          </w:p>
        </w:tc>
        <w:tc>
          <w:tcPr>
            <w:tcW w:w="1287" w:type="dxa"/>
            <w:tcBorders>
              <w:top w:val="nil"/>
              <w:bottom w:val="nil"/>
            </w:tcBorders>
            <w:vAlign w:val="center"/>
          </w:tcPr>
          <w:p>
            <w:pPr>
              <w:jc w:val="center"/>
              <w:rPr>
                <w:sz w:val="24"/>
                <w:szCs w:val="24"/>
                <w:lang w:val="el-GR"/>
              </w:rPr>
            </w:pPr>
            <w:r>
              <w:rPr>
                <w:sz w:val="24"/>
                <w:szCs w:val="24"/>
                <w:lang w:val="el-GR"/>
              </w:rPr>
              <w:t>20%</w:t>
            </w:r>
          </w:p>
          <w:p>
            <w:pPr>
              <w:jc w:val="center"/>
              <w:rPr>
                <w:sz w:val="24"/>
                <w:szCs w:val="24"/>
                <w:lang w:val="el-GR"/>
              </w:rPr>
            </w:pPr>
            <w:r>
              <w:rPr>
                <w:sz w:val="24"/>
                <w:szCs w:val="24"/>
                <w:lang w:val="el-GR"/>
              </w:rPr>
              <w:t>（2/10）</w:t>
            </w:r>
          </w:p>
        </w:tc>
        <w:tc>
          <w:tcPr>
            <w:tcW w:w="1287" w:type="dxa"/>
            <w:tcBorders>
              <w:top w:val="nil"/>
              <w:bottom w:val="nil"/>
            </w:tcBorders>
            <w:vAlign w:val="center"/>
          </w:tcPr>
          <w:p>
            <w:pPr>
              <w:jc w:val="center"/>
              <w:rPr>
                <w:sz w:val="24"/>
                <w:szCs w:val="24"/>
                <w:lang w:val="el-GR"/>
              </w:rPr>
            </w:pPr>
            <w:r>
              <w:rPr>
                <w:sz w:val="24"/>
                <w:szCs w:val="24"/>
                <w:lang w:val="el-GR"/>
              </w:rPr>
              <w:t>80%</w:t>
            </w:r>
          </w:p>
        </w:tc>
        <w:tc>
          <w:tcPr>
            <w:tcW w:w="1288" w:type="dxa"/>
            <w:tcBorders>
              <w:top w:val="nil"/>
              <w:bottom w:val="nil"/>
            </w:tcBorders>
            <w:vAlign w:val="center"/>
          </w:tcPr>
          <w:p>
            <w:pPr>
              <w:jc w:val="center"/>
              <w:rPr>
                <w:sz w:val="24"/>
                <w:szCs w:val="24"/>
                <w:lang w:val="el-GR"/>
              </w:rPr>
            </w:pPr>
            <w:r>
              <w:rPr>
                <w:sz w:val="24"/>
                <w:szCs w:val="24"/>
                <w:lang w:val="el-GR"/>
              </w:rPr>
              <w:t>89%</w:t>
            </w:r>
          </w:p>
        </w:tc>
        <w:tc>
          <w:tcPr>
            <w:tcW w:w="1693" w:type="dxa"/>
            <w:tcBorders>
              <w:top w:val="nil"/>
              <w:bottom w:val="nil"/>
            </w:tcBorders>
            <w:vAlign w:val="center"/>
          </w:tcPr>
          <w:p>
            <w:pPr>
              <w:jc w:val="center"/>
              <w:rPr>
                <w:sz w:val="24"/>
                <w:szCs w:val="24"/>
                <w:lang w:val="el-GR"/>
              </w:rPr>
            </w:pPr>
            <w:r>
              <w:rPr>
                <w:sz w:val="24"/>
                <w:szCs w:val="24"/>
                <w:lang w:val="el-GR"/>
              </w:rPr>
              <w:t>P=0.80</w:t>
            </w:r>
          </w:p>
        </w:tc>
      </w:tr>
      <w:tr>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jc w:val="center"/>
        </w:trPr>
        <w:tc>
          <w:tcPr>
            <w:tcW w:w="1287" w:type="dxa"/>
            <w:tcBorders>
              <w:top w:val="nil"/>
              <w:bottom w:val="nil"/>
            </w:tcBorders>
            <w:vAlign w:val="center"/>
          </w:tcPr>
          <w:p>
            <w:pPr>
              <w:spacing w:line="360" w:lineRule="auto"/>
              <w:jc w:val="center"/>
              <w:rPr>
                <w:b/>
                <w:bCs/>
                <w:sz w:val="24"/>
                <w:szCs w:val="24"/>
                <w:lang w:val="el-GR"/>
              </w:rPr>
            </w:pPr>
            <w:r>
              <w:rPr>
                <w:b/>
                <w:bCs/>
                <w:sz w:val="24"/>
                <w:szCs w:val="24"/>
                <w:lang w:val="el-GR"/>
              </w:rPr>
              <w:t>C</w:t>
            </w:r>
          </w:p>
        </w:tc>
        <w:tc>
          <w:tcPr>
            <w:tcW w:w="1287" w:type="dxa"/>
            <w:tcBorders>
              <w:top w:val="nil"/>
              <w:bottom w:val="nil"/>
            </w:tcBorders>
            <w:vAlign w:val="center"/>
          </w:tcPr>
          <w:p>
            <w:pPr>
              <w:jc w:val="center"/>
              <w:rPr>
                <w:sz w:val="24"/>
                <w:szCs w:val="24"/>
                <w:lang w:val="el-GR"/>
              </w:rPr>
            </w:pPr>
            <w:r>
              <w:rPr>
                <w:sz w:val="24"/>
                <w:szCs w:val="24"/>
                <w:lang w:val="el-GR"/>
              </w:rPr>
              <w:t>0</w:t>
            </w:r>
          </w:p>
          <w:p>
            <w:pPr>
              <w:jc w:val="center"/>
              <w:rPr>
                <w:sz w:val="24"/>
                <w:szCs w:val="24"/>
                <w:lang w:val="el-GR"/>
              </w:rPr>
            </w:pPr>
            <w:r>
              <w:rPr>
                <w:sz w:val="24"/>
                <w:szCs w:val="24"/>
                <w:lang w:val="el-GR"/>
              </w:rPr>
              <w:t>（0/9）</w:t>
            </w:r>
          </w:p>
        </w:tc>
        <w:tc>
          <w:tcPr>
            <w:tcW w:w="1287" w:type="dxa"/>
            <w:tcBorders>
              <w:top w:val="nil"/>
              <w:bottom w:val="nil"/>
            </w:tcBorders>
            <w:vAlign w:val="center"/>
          </w:tcPr>
          <w:p>
            <w:pPr>
              <w:jc w:val="center"/>
              <w:rPr>
                <w:sz w:val="24"/>
                <w:szCs w:val="24"/>
                <w:lang w:val="el-GR"/>
              </w:rPr>
            </w:pPr>
            <w:r>
              <w:rPr>
                <w:sz w:val="24"/>
                <w:szCs w:val="24"/>
                <w:lang w:val="el-GR"/>
              </w:rPr>
              <w:t>50%</w:t>
            </w:r>
          </w:p>
          <w:p>
            <w:pPr>
              <w:jc w:val="center"/>
              <w:rPr>
                <w:sz w:val="24"/>
                <w:szCs w:val="24"/>
                <w:lang w:val="el-GR"/>
              </w:rPr>
            </w:pPr>
            <w:r>
              <w:rPr>
                <w:sz w:val="24"/>
                <w:szCs w:val="24"/>
                <w:lang w:val="el-GR"/>
              </w:rPr>
              <w:t>（5/10）</w:t>
            </w:r>
          </w:p>
        </w:tc>
        <w:tc>
          <w:tcPr>
            <w:tcW w:w="1287" w:type="dxa"/>
            <w:tcBorders>
              <w:top w:val="nil"/>
              <w:bottom w:val="nil"/>
            </w:tcBorders>
            <w:vAlign w:val="center"/>
          </w:tcPr>
          <w:p>
            <w:pPr>
              <w:jc w:val="center"/>
              <w:rPr>
                <w:sz w:val="24"/>
                <w:szCs w:val="24"/>
                <w:lang w:val="el-GR"/>
              </w:rPr>
            </w:pPr>
            <w:r>
              <w:rPr>
                <w:sz w:val="24"/>
                <w:szCs w:val="24"/>
                <w:lang w:val="el-GR"/>
              </w:rPr>
              <w:t>50%</w:t>
            </w:r>
          </w:p>
        </w:tc>
        <w:tc>
          <w:tcPr>
            <w:tcW w:w="1288" w:type="dxa"/>
            <w:tcBorders>
              <w:top w:val="nil"/>
              <w:bottom w:val="nil"/>
            </w:tcBorders>
            <w:vAlign w:val="center"/>
          </w:tcPr>
          <w:p>
            <w:pPr>
              <w:jc w:val="center"/>
              <w:rPr>
                <w:sz w:val="24"/>
                <w:szCs w:val="24"/>
                <w:lang w:val="el-GR"/>
              </w:rPr>
            </w:pPr>
            <w:r>
              <w:rPr>
                <w:sz w:val="24"/>
                <w:szCs w:val="24"/>
                <w:lang w:val="el-GR"/>
              </w:rPr>
              <w:t>100%</w:t>
            </w:r>
          </w:p>
        </w:tc>
        <w:tc>
          <w:tcPr>
            <w:tcW w:w="1693" w:type="dxa"/>
            <w:tcBorders>
              <w:top w:val="nil"/>
              <w:bottom w:val="nil"/>
            </w:tcBorders>
            <w:vAlign w:val="center"/>
          </w:tcPr>
          <w:p>
            <w:pPr>
              <w:jc w:val="center"/>
              <w:rPr>
                <w:sz w:val="24"/>
                <w:szCs w:val="24"/>
                <w:lang w:val="el-GR"/>
              </w:rPr>
            </w:pPr>
            <w:r>
              <w:rPr>
                <w:sz w:val="24"/>
                <w:szCs w:val="24"/>
                <w:lang w:val="el-GR"/>
              </w:rPr>
              <w:t>P=0.50</w:t>
            </w:r>
          </w:p>
        </w:tc>
      </w:tr>
      <w:tr>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7" w:hRule="atLeast"/>
          <w:jc w:val="center"/>
        </w:trPr>
        <w:tc>
          <w:tcPr>
            <w:tcW w:w="1287" w:type="dxa"/>
            <w:tcBorders>
              <w:top w:val="nil"/>
              <w:bottom w:val="nil"/>
            </w:tcBorders>
            <w:vAlign w:val="center"/>
          </w:tcPr>
          <w:p>
            <w:pPr>
              <w:spacing w:line="360" w:lineRule="auto"/>
              <w:jc w:val="center"/>
              <w:rPr>
                <w:b/>
                <w:bCs/>
                <w:sz w:val="24"/>
                <w:szCs w:val="24"/>
                <w:lang w:val="el-GR"/>
              </w:rPr>
            </w:pPr>
            <w:r>
              <w:rPr>
                <w:b/>
                <w:bCs/>
                <w:sz w:val="24"/>
                <w:szCs w:val="24"/>
                <w:lang w:val="el-GR"/>
              </w:rPr>
              <w:t>D</w:t>
            </w:r>
          </w:p>
        </w:tc>
        <w:tc>
          <w:tcPr>
            <w:tcW w:w="1287" w:type="dxa"/>
            <w:tcBorders>
              <w:top w:val="nil"/>
              <w:bottom w:val="nil"/>
            </w:tcBorders>
            <w:vAlign w:val="center"/>
          </w:tcPr>
          <w:p>
            <w:pPr>
              <w:jc w:val="center"/>
              <w:rPr>
                <w:sz w:val="24"/>
                <w:szCs w:val="24"/>
                <w:lang w:val="el-GR"/>
              </w:rPr>
            </w:pPr>
            <w:r>
              <w:rPr>
                <w:sz w:val="24"/>
                <w:szCs w:val="24"/>
                <w:lang w:val="el-GR"/>
              </w:rPr>
              <w:t>11%</w:t>
            </w:r>
          </w:p>
          <w:p>
            <w:pPr>
              <w:jc w:val="center"/>
              <w:rPr>
                <w:sz w:val="24"/>
                <w:szCs w:val="24"/>
                <w:lang w:val="el-GR"/>
              </w:rPr>
            </w:pPr>
            <w:r>
              <w:rPr>
                <w:sz w:val="24"/>
                <w:szCs w:val="24"/>
                <w:lang w:val="el-GR"/>
              </w:rPr>
              <w:t>（1/9）</w:t>
            </w:r>
          </w:p>
        </w:tc>
        <w:tc>
          <w:tcPr>
            <w:tcW w:w="1287" w:type="dxa"/>
            <w:tcBorders>
              <w:top w:val="nil"/>
              <w:bottom w:val="nil"/>
            </w:tcBorders>
            <w:vAlign w:val="center"/>
          </w:tcPr>
          <w:p>
            <w:pPr>
              <w:jc w:val="center"/>
              <w:rPr>
                <w:sz w:val="24"/>
                <w:szCs w:val="24"/>
                <w:lang w:val="el-GR"/>
              </w:rPr>
            </w:pPr>
            <w:r>
              <w:rPr>
                <w:sz w:val="24"/>
                <w:szCs w:val="24"/>
                <w:lang w:val="el-GR"/>
              </w:rPr>
              <w:t>10%</w:t>
            </w:r>
          </w:p>
          <w:p>
            <w:pPr>
              <w:jc w:val="center"/>
              <w:rPr>
                <w:sz w:val="24"/>
                <w:szCs w:val="24"/>
                <w:lang w:val="el-GR"/>
              </w:rPr>
            </w:pPr>
            <w:r>
              <w:rPr>
                <w:sz w:val="24"/>
                <w:szCs w:val="24"/>
                <w:lang w:val="el-GR"/>
              </w:rPr>
              <w:t>（1/10）</w:t>
            </w:r>
          </w:p>
        </w:tc>
        <w:tc>
          <w:tcPr>
            <w:tcW w:w="1287" w:type="dxa"/>
            <w:tcBorders>
              <w:top w:val="nil"/>
              <w:bottom w:val="nil"/>
            </w:tcBorders>
            <w:vAlign w:val="center"/>
          </w:tcPr>
          <w:p>
            <w:pPr>
              <w:jc w:val="center"/>
              <w:rPr>
                <w:sz w:val="24"/>
                <w:szCs w:val="24"/>
                <w:lang w:val="el-GR"/>
              </w:rPr>
            </w:pPr>
            <w:r>
              <w:rPr>
                <w:sz w:val="24"/>
                <w:szCs w:val="24"/>
                <w:lang w:val="el-GR"/>
              </w:rPr>
              <w:t>90%</w:t>
            </w:r>
          </w:p>
        </w:tc>
        <w:tc>
          <w:tcPr>
            <w:tcW w:w="1288" w:type="dxa"/>
            <w:tcBorders>
              <w:top w:val="nil"/>
              <w:bottom w:val="nil"/>
            </w:tcBorders>
            <w:vAlign w:val="center"/>
          </w:tcPr>
          <w:p>
            <w:pPr>
              <w:jc w:val="center"/>
              <w:rPr>
                <w:sz w:val="24"/>
                <w:szCs w:val="24"/>
                <w:lang w:val="el-GR"/>
              </w:rPr>
            </w:pPr>
            <w:r>
              <w:rPr>
                <w:sz w:val="24"/>
                <w:szCs w:val="24"/>
                <w:lang w:val="el-GR"/>
              </w:rPr>
              <w:t>89%</w:t>
            </w:r>
          </w:p>
        </w:tc>
        <w:tc>
          <w:tcPr>
            <w:tcW w:w="1693" w:type="dxa"/>
            <w:tcBorders>
              <w:top w:val="nil"/>
              <w:bottom w:val="nil"/>
            </w:tcBorders>
            <w:vAlign w:val="center"/>
          </w:tcPr>
          <w:p>
            <w:pPr>
              <w:jc w:val="center"/>
              <w:rPr>
                <w:sz w:val="24"/>
                <w:szCs w:val="24"/>
                <w:lang w:val="el-GR"/>
              </w:rPr>
            </w:pPr>
            <w:r>
              <w:rPr>
                <w:sz w:val="24"/>
                <w:szCs w:val="24"/>
                <w:lang w:val="el-GR"/>
              </w:rPr>
              <w:t>P=0.86</w:t>
            </w:r>
          </w:p>
        </w:tc>
      </w:tr>
      <w:tr>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287" w:type="dxa"/>
            <w:tcBorders>
              <w:top w:val="nil"/>
              <w:bottom w:val="single" w:color="auto" w:sz="12" w:space="0"/>
            </w:tcBorders>
            <w:vAlign w:val="center"/>
          </w:tcPr>
          <w:p>
            <w:pPr>
              <w:spacing w:line="360" w:lineRule="auto"/>
              <w:jc w:val="center"/>
              <w:rPr>
                <w:b/>
                <w:bCs/>
                <w:sz w:val="24"/>
                <w:szCs w:val="24"/>
                <w:lang w:val="el-GR"/>
              </w:rPr>
            </w:pPr>
            <w:r>
              <w:rPr>
                <w:b/>
                <w:bCs/>
                <w:sz w:val="24"/>
                <w:szCs w:val="24"/>
                <w:lang w:val="el-GR"/>
              </w:rPr>
              <w:t>E</w:t>
            </w:r>
          </w:p>
        </w:tc>
        <w:tc>
          <w:tcPr>
            <w:tcW w:w="1287" w:type="dxa"/>
            <w:tcBorders>
              <w:top w:val="nil"/>
              <w:bottom w:val="single" w:color="auto" w:sz="12" w:space="0"/>
            </w:tcBorders>
            <w:vAlign w:val="center"/>
          </w:tcPr>
          <w:p>
            <w:pPr>
              <w:jc w:val="center"/>
              <w:rPr>
                <w:sz w:val="24"/>
                <w:szCs w:val="24"/>
                <w:lang w:val="el-GR"/>
              </w:rPr>
            </w:pPr>
            <w:r>
              <w:rPr>
                <w:sz w:val="24"/>
                <w:szCs w:val="24"/>
                <w:lang w:val="el-GR"/>
              </w:rPr>
              <w:t>11%</w:t>
            </w:r>
          </w:p>
          <w:p>
            <w:pPr>
              <w:jc w:val="center"/>
              <w:rPr>
                <w:sz w:val="24"/>
                <w:szCs w:val="24"/>
                <w:lang w:val="el-GR"/>
              </w:rPr>
            </w:pPr>
            <w:r>
              <w:rPr>
                <w:sz w:val="24"/>
                <w:szCs w:val="24"/>
                <w:lang w:val="el-GR"/>
              </w:rPr>
              <w:t>（1/9）</w:t>
            </w:r>
          </w:p>
        </w:tc>
        <w:tc>
          <w:tcPr>
            <w:tcW w:w="1287" w:type="dxa"/>
            <w:tcBorders>
              <w:top w:val="nil"/>
              <w:bottom w:val="single" w:color="auto" w:sz="12" w:space="0"/>
            </w:tcBorders>
            <w:vAlign w:val="center"/>
          </w:tcPr>
          <w:p>
            <w:pPr>
              <w:jc w:val="center"/>
              <w:rPr>
                <w:sz w:val="24"/>
                <w:szCs w:val="24"/>
                <w:lang w:val="el-GR"/>
              </w:rPr>
            </w:pPr>
            <w:r>
              <w:rPr>
                <w:sz w:val="24"/>
                <w:szCs w:val="24"/>
                <w:lang w:val="el-GR"/>
              </w:rPr>
              <w:t>0</w:t>
            </w:r>
          </w:p>
          <w:p>
            <w:pPr>
              <w:jc w:val="center"/>
              <w:rPr>
                <w:sz w:val="24"/>
                <w:szCs w:val="24"/>
                <w:lang w:val="el-GR"/>
              </w:rPr>
            </w:pPr>
            <w:r>
              <w:rPr>
                <w:sz w:val="24"/>
                <w:szCs w:val="24"/>
                <w:lang w:val="el-GR"/>
              </w:rPr>
              <w:t>（0/10）</w:t>
            </w:r>
          </w:p>
        </w:tc>
        <w:tc>
          <w:tcPr>
            <w:tcW w:w="1287" w:type="dxa"/>
            <w:tcBorders>
              <w:top w:val="nil"/>
              <w:bottom w:val="single" w:color="auto" w:sz="12" w:space="0"/>
            </w:tcBorders>
            <w:vAlign w:val="center"/>
          </w:tcPr>
          <w:p>
            <w:pPr>
              <w:jc w:val="center"/>
              <w:rPr>
                <w:sz w:val="24"/>
                <w:szCs w:val="24"/>
                <w:lang w:val="el-GR"/>
              </w:rPr>
            </w:pPr>
            <w:r>
              <w:rPr>
                <w:sz w:val="24"/>
                <w:szCs w:val="24"/>
                <w:lang w:val="el-GR"/>
              </w:rPr>
              <w:t>100%</w:t>
            </w:r>
          </w:p>
        </w:tc>
        <w:tc>
          <w:tcPr>
            <w:tcW w:w="1288" w:type="dxa"/>
            <w:tcBorders>
              <w:top w:val="nil"/>
              <w:bottom w:val="single" w:color="auto" w:sz="12" w:space="0"/>
            </w:tcBorders>
            <w:vAlign w:val="center"/>
          </w:tcPr>
          <w:p>
            <w:pPr>
              <w:jc w:val="center"/>
              <w:rPr>
                <w:sz w:val="24"/>
                <w:szCs w:val="24"/>
                <w:lang w:val="el-GR"/>
              </w:rPr>
            </w:pPr>
            <w:r>
              <w:rPr>
                <w:sz w:val="24"/>
                <w:szCs w:val="24"/>
                <w:lang w:val="el-GR"/>
              </w:rPr>
              <w:t>89%</w:t>
            </w:r>
          </w:p>
        </w:tc>
        <w:tc>
          <w:tcPr>
            <w:tcW w:w="1693" w:type="dxa"/>
            <w:tcBorders>
              <w:top w:val="nil"/>
              <w:bottom w:val="single" w:color="auto" w:sz="12" w:space="0"/>
            </w:tcBorders>
            <w:vAlign w:val="center"/>
          </w:tcPr>
          <w:p>
            <w:pPr>
              <w:jc w:val="center"/>
              <w:rPr>
                <w:sz w:val="24"/>
                <w:szCs w:val="24"/>
                <w:lang w:val="el-GR"/>
              </w:rPr>
            </w:pPr>
            <w:r>
              <w:rPr>
                <w:sz w:val="24"/>
                <w:szCs w:val="24"/>
                <w:lang w:val="el-GR"/>
              </w:rPr>
              <w:t>P=0.91</w:t>
            </w:r>
          </w:p>
        </w:tc>
      </w:tr>
    </w:tbl>
    <w:p>
      <w:pPr>
        <w:spacing w:line="300" w:lineRule="auto"/>
        <w:ind w:firstLine="630" w:firstLineChars="300"/>
        <w:jc w:val="left"/>
        <w:rPr>
          <w:rFonts w:ascii="宋体" w:hAnsi="宋体"/>
          <w:szCs w:val="21"/>
        </w:rPr>
      </w:pPr>
      <w:r>
        <w:rPr>
          <w:rFonts w:ascii="宋体" w:hAnsi="宋体"/>
          <w:szCs w:val="21"/>
        </w:rPr>
        <w:t>注：受试物</w:t>
      </w:r>
      <w:r>
        <w:rPr>
          <w:rFonts w:hint="eastAsia" w:ascii="宋体" w:hAnsi="宋体"/>
          <w:szCs w:val="21"/>
        </w:rPr>
        <w:t>列表</w:t>
      </w:r>
      <w:r>
        <w:rPr>
          <w:rFonts w:ascii="宋体" w:hAnsi="宋体"/>
          <w:szCs w:val="21"/>
        </w:rPr>
        <w:t>见附录</w:t>
      </w:r>
      <w:r>
        <w:rPr>
          <w:rFonts w:hint="eastAsia" w:ascii="宋体" w:hAnsi="宋体"/>
          <w:szCs w:val="21"/>
        </w:rPr>
        <w:t>A，受试物</w:t>
      </w:r>
      <w:r>
        <w:rPr>
          <w:rFonts w:ascii="宋体" w:hAnsi="宋体"/>
          <w:szCs w:val="21"/>
        </w:rPr>
        <w:t>共</w:t>
      </w:r>
      <w:r>
        <w:rPr>
          <w:rFonts w:hint="eastAsia" w:ascii="宋体" w:hAnsi="宋体"/>
          <w:szCs w:val="21"/>
        </w:rPr>
        <w:t>18种</w:t>
      </w:r>
      <w:r>
        <w:rPr>
          <w:rFonts w:ascii="宋体" w:hAnsi="宋体"/>
          <w:szCs w:val="21"/>
        </w:rPr>
        <w:t>，其中阳性</w:t>
      </w:r>
      <w:r>
        <w:rPr>
          <w:rFonts w:hint="eastAsia" w:ascii="宋体" w:hAnsi="宋体"/>
          <w:szCs w:val="21"/>
        </w:rPr>
        <w:t>参考物HC</w:t>
      </w:r>
      <w:r>
        <w:rPr>
          <w:rFonts w:ascii="宋体" w:hAnsi="宋体"/>
          <w:szCs w:val="21"/>
        </w:rPr>
        <w:t>l检测了</w:t>
      </w:r>
      <w:r>
        <w:rPr>
          <w:rFonts w:hint="eastAsia" w:ascii="宋体" w:hAnsi="宋体"/>
          <w:szCs w:val="21"/>
        </w:rPr>
        <w:t>2个</w:t>
      </w:r>
      <w:r>
        <w:rPr>
          <w:rFonts w:ascii="宋体" w:hAnsi="宋体"/>
          <w:szCs w:val="21"/>
        </w:rPr>
        <w:t>浓度</w:t>
      </w:r>
      <w:r>
        <w:rPr>
          <w:rFonts w:hint="eastAsia" w:ascii="宋体" w:hAnsi="宋体"/>
          <w:szCs w:val="21"/>
        </w:rPr>
        <w:t>，</w:t>
      </w:r>
      <w:r>
        <w:rPr>
          <w:rFonts w:ascii="宋体" w:hAnsi="宋体"/>
          <w:szCs w:val="21"/>
        </w:rPr>
        <w:t>共</w:t>
      </w:r>
      <w:r>
        <w:rPr>
          <w:rFonts w:hint="eastAsia" w:ascii="宋体" w:hAnsi="宋体"/>
          <w:szCs w:val="21"/>
        </w:rPr>
        <w:t>19个</w:t>
      </w:r>
      <w:r>
        <w:rPr>
          <w:rFonts w:ascii="宋体" w:hAnsi="宋体"/>
          <w:szCs w:val="21"/>
        </w:rPr>
        <w:t>结果。</w:t>
      </w:r>
    </w:p>
    <w:p>
      <w:pPr>
        <w:spacing w:line="300" w:lineRule="auto"/>
        <w:ind w:firstLine="630" w:firstLineChars="300"/>
        <w:jc w:val="left"/>
        <w:rPr>
          <w:rFonts w:hint="eastAsia" w:ascii="宋体" w:hAnsi="宋体"/>
          <w:szCs w:val="21"/>
        </w:rPr>
      </w:pPr>
    </w:p>
    <w:p>
      <w:pPr>
        <w:spacing w:line="400" w:lineRule="exact"/>
        <w:ind w:left="105" w:leftChars="50" w:firstLine="480" w:firstLineChars="200"/>
        <w:rPr>
          <w:rFonts w:hint="eastAsia"/>
          <w:sz w:val="24"/>
          <w:szCs w:val="24"/>
          <w:lang w:val="el-GR"/>
        </w:rPr>
      </w:pPr>
      <w:r>
        <w:rPr>
          <w:rFonts w:hint="eastAsia"/>
          <w:sz w:val="24"/>
          <w:szCs w:val="24"/>
          <w:lang w:val="el-GR"/>
        </w:rPr>
        <w:t>以</w:t>
      </w:r>
      <w:r>
        <w:rPr>
          <w:sz w:val="24"/>
          <w:szCs w:val="24"/>
          <w:lang w:val="el-GR"/>
        </w:rPr>
        <w:t>方案</w:t>
      </w:r>
      <w:r>
        <w:rPr>
          <w:rFonts w:hint="eastAsia"/>
          <w:sz w:val="24"/>
          <w:szCs w:val="24"/>
          <w:lang w:val="el-GR"/>
        </w:rPr>
        <w:t>E为</w:t>
      </w:r>
      <w:r>
        <w:rPr>
          <w:sz w:val="24"/>
          <w:szCs w:val="24"/>
          <w:lang w:val="el-GR"/>
        </w:rPr>
        <w:t>判定标准进行试验效能研究结果显示：</w:t>
      </w:r>
      <w:r>
        <w:rPr>
          <w:rFonts w:hint="eastAsia"/>
          <w:sz w:val="24"/>
          <w:szCs w:val="24"/>
          <w:lang w:val="el-GR"/>
        </w:rPr>
        <w:t>对18种</w:t>
      </w:r>
      <w:r>
        <w:rPr>
          <w:sz w:val="24"/>
          <w:szCs w:val="24"/>
          <w:lang w:val="el-GR"/>
        </w:rPr>
        <w:t>受试物共</w:t>
      </w:r>
      <w:r>
        <w:rPr>
          <w:rFonts w:hint="eastAsia"/>
          <w:sz w:val="24"/>
          <w:szCs w:val="24"/>
          <w:lang w:val="el-GR"/>
        </w:rPr>
        <w:t>19个</w:t>
      </w:r>
      <w:r>
        <w:rPr>
          <w:sz w:val="24"/>
          <w:szCs w:val="24"/>
          <w:lang w:val="el-GR"/>
        </w:rPr>
        <w:t>结果的判定中，</w:t>
      </w:r>
      <w:r>
        <w:rPr>
          <w:rFonts w:hint="eastAsia"/>
          <w:sz w:val="24"/>
          <w:szCs w:val="24"/>
          <w:lang w:val="el-GR"/>
        </w:rPr>
        <w:t>大鼠经皮</w:t>
      </w:r>
      <w:r>
        <w:rPr>
          <w:sz w:val="24"/>
          <w:szCs w:val="24"/>
          <w:lang w:val="el-GR"/>
        </w:rPr>
        <w:t>电阻试验可将</w:t>
      </w:r>
      <w:r>
        <w:rPr>
          <w:rFonts w:hint="eastAsia"/>
          <w:sz w:val="24"/>
          <w:szCs w:val="24"/>
          <w:lang w:val="el-GR"/>
        </w:rPr>
        <w:t>8种</w:t>
      </w:r>
      <w:r>
        <w:rPr>
          <w:sz w:val="24"/>
          <w:szCs w:val="24"/>
          <w:lang w:val="el-GR"/>
        </w:rPr>
        <w:t>已知皮肤腐蚀性</w:t>
      </w:r>
      <w:r>
        <w:rPr>
          <w:rFonts w:hint="eastAsia"/>
          <w:sz w:val="24"/>
          <w:szCs w:val="24"/>
          <w:lang w:val="el-GR"/>
        </w:rPr>
        <w:t>阴</w:t>
      </w:r>
      <w:r>
        <w:rPr>
          <w:sz w:val="24"/>
          <w:szCs w:val="24"/>
          <w:lang w:val="el-GR"/>
        </w:rPr>
        <w:t>性物质、9</w:t>
      </w:r>
      <w:r>
        <w:rPr>
          <w:rFonts w:hint="eastAsia"/>
          <w:sz w:val="24"/>
          <w:szCs w:val="24"/>
          <w:lang w:val="el-GR"/>
        </w:rPr>
        <w:t>种</w:t>
      </w:r>
      <w:r>
        <w:rPr>
          <w:sz w:val="24"/>
          <w:szCs w:val="24"/>
          <w:lang w:val="el-GR"/>
        </w:rPr>
        <w:t>（HCl为2</w:t>
      </w:r>
      <w:r>
        <w:rPr>
          <w:rFonts w:hint="eastAsia"/>
          <w:sz w:val="24"/>
          <w:szCs w:val="24"/>
          <w:lang w:val="el-GR"/>
        </w:rPr>
        <w:t>个</w:t>
      </w:r>
      <w:r>
        <w:rPr>
          <w:sz w:val="24"/>
          <w:szCs w:val="24"/>
          <w:lang w:val="el-GR"/>
        </w:rPr>
        <w:t>测试浓度</w:t>
      </w:r>
      <w:r>
        <w:rPr>
          <w:rFonts w:hint="eastAsia"/>
          <w:sz w:val="24"/>
          <w:szCs w:val="24"/>
          <w:lang w:val="el-GR"/>
        </w:rPr>
        <w:t>）</w:t>
      </w:r>
      <w:r>
        <w:rPr>
          <w:sz w:val="24"/>
          <w:szCs w:val="24"/>
          <w:lang w:val="el-GR"/>
        </w:rPr>
        <w:t>已知皮肤腐蚀性阳性物质</w:t>
      </w:r>
      <w:r>
        <w:rPr>
          <w:rFonts w:hint="eastAsia"/>
          <w:sz w:val="24"/>
          <w:szCs w:val="24"/>
          <w:lang w:val="el-GR"/>
        </w:rPr>
        <w:t>正确</w:t>
      </w:r>
      <w:r>
        <w:rPr>
          <w:sz w:val="24"/>
          <w:szCs w:val="24"/>
          <w:lang w:val="el-GR"/>
        </w:rPr>
        <w:t>判定，仅将</w:t>
      </w:r>
      <w:r>
        <w:rPr>
          <w:rFonts w:hint="eastAsia"/>
          <w:sz w:val="24"/>
          <w:szCs w:val="24"/>
          <w:lang w:val="el-GR"/>
        </w:rPr>
        <w:t>1种</w:t>
      </w:r>
      <w:r>
        <w:rPr>
          <w:sz w:val="24"/>
          <w:szCs w:val="24"/>
          <w:lang w:val="el-GR"/>
        </w:rPr>
        <w:t>腐蚀性阴性物质（异丙醇）判定为腐蚀性阳性。其</w:t>
      </w:r>
      <w:r>
        <w:rPr>
          <w:rFonts w:hint="eastAsia"/>
          <w:sz w:val="24"/>
          <w:szCs w:val="24"/>
          <w:lang w:val="el-GR"/>
        </w:rPr>
        <w:t>灵敏度</w:t>
      </w:r>
      <w:r>
        <w:rPr>
          <w:sz w:val="24"/>
          <w:szCs w:val="24"/>
          <w:lang w:val="el-GR"/>
        </w:rPr>
        <w:t>（</w:t>
      </w:r>
      <w:r>
        <w:rPr>
          <w:rFonts w:hint="eastAsia"/>
          <w:sz w:val="24"/>
          <w:szCs w:val="24"/>
          <w:lang w:val="el-GR"/>
        </w:rPr>
        <w:t>TPR）</w:t>
      </w:r>
      <w:r>
        <w:rPr>
          <w:sz w:val="24"/>
          <w:szCs w:val="24"/>
          <w:lang w:val="el-GR"/>
        </w:rPr>
        <w:t>为</w:t>
      </w:r>
      <w:r>
        <w:rPr>
          <w:rFonts w:hint="eastAsia"/>
          <w:sz w:val="24"/>
          <w:szCs w:val="24"/>
          <w:lang w:val="el-GR"/>
        </w:rPr>
        <w:t>100</w:t>
      </w:r>
      <w:r>
        <w:rPr>
          <w:sz w:val="24"/>
          <w:szCs w:val="24"/>
          <w:lang w:val="el-GR"/>
        </w:rPr>
        <w:t>%，</w:t>
      </w:r>
      <w:r>
        <w:rPr>
          <w:rFonts w:hint="eastAsia"/>
          <w:sz w:val="24"/>
          <w:szCs w:val="24"/>
          <w:lang w:val="el-GR"/>
        </w:rPr>
        <w:t>特异度</w:t>
      </w:r>
      <w:r>
        <w:rPr>
          <w:sz w:val="24"/>
          <w:szCs w:val="24"/>
          <w:lang w:val="el-GR"/>
        </w:rPr>
        <w:t>（Spe）为</w:t>
      </w:r>
      <w:r>
        <w:rPr>
          <w:rFonts w:hint="eastAsia"/>
          <w:sz w:val="24"/>
          <w:szCs w:val="24"/>
          <w:lang w:val="el-GR"/>
        </w:rPr>
        <w:t>89</w:t>
      </w:r>
      <w:r>
        <w:rPr>
          <w:sz w:val="24"/>
          <w:szCs w:val="24"/>
          <w:lang w:val="el-GR"/>
        </w:rPr>
        <w:t>%，</w:t>
      </w:r>
      <w:r>
        <w:rPr>
          <w:rFonts w:hint="eastAsia"/>
          <w:sz w:val="24"/>
          <w:szCs w:val="24"/>
          <w:lang w:val="el-GR"/>
        </w:rPr>
        <w:t>阳性</w:t>
      </w:r>
      <w:r>
        <w:rPr>
          <w:sz w:val="24"/>
          <w:szCs w:val="24"/>
          <w:lang w:val="el-GR"/>
        </w:rPr>
        <w:t>预测价值</w:t>
      </w:r>
      <w:r>
        <w:rPr>
          <w:rFonts w:hint="eastAsia"/>
          <w:sz w:val="24"/>
          <w:szCs w:val="24"/>
          <w:lang w:val="el-GR"/>
        </w:rPr>
        <w:t>（PV＋）为0.9，</w:t>
      </w:r>
      <w:r>
        <w:rPr>
          <w:sz w:val="24"/>
          <w:szCs w:val="24"/>
        </w:rPr>
        <w:t>阴性预测价值（PV－）为1。Pearson χ</w:t>
      </w:r>
      <w:r>
        <w:rPr>
          <w:sz w:val="24"/>
          <w:szCs w:val="24"/>
          <w:vertAlign w:val="superscript"/>
        </w:rPr>
        <w:t>2</w:t>
      </w:r>
      <w:r>
        <w:rPr>
          <w:sz w:val="24"/>
          <w:szCs w:val="24"/>
        </w:rPr>
        <w:t>检验，表明</w:t>
      </w:r>
      <w:r>
        <w:rPr>
          <w:rFonts w:hint="eastAsia"/>
          <w:sz w:val="24"/>
          <w:szCs w:val="24"/>
        </w:rPr>
        <w:t>大鼠经皮电阻</w:t>
      </w:r>
      <w:r>
        <w:rPr>
          <w:sz w:val="24"/>
          <w:szCs w:val="24"/>
        </w:rPr>
        <w:t>试验对所检验的参考受试物与</w:t>
      </w:r>
      <w:r>
        <w:rPr>
          <w:rFonts w:hint="eastAsia"/>
          <w:sz w:val="24"/>
          <w:szCs w:val="24"/>
        </w:rPr>
        <w:t>其</w:t>
      </w:r>
      <w:r>
        <w:rPr>
          <w:sz w:val="24"/>
          <w:szCs w:val="24"/>
        </w:rPr>
        <w:t>真实的参考腐蚀性结果具有高度相关性（见表2）。</w:t>
      </w:r>
    </w:p>
    <w:p>
      <w:pPr>
        <w:spacing w:line="400" w:lineRule="exact"/>
        <w:ind w:left="105" w:leftChars="50" w:firstLine="480" w:firstLineChars="200"/>
        <w:rPr>
          <w:sz w:val="24"/>
          <w:szCs w:val="24"/>
          <w:lang w:val="el-GR"/>
        </w:rPr>
      </w:pPr>
    </w:p>
    <w:p>
      <w:pPr>
        <w:spacing w:line="360" w:lineRule="auto"/>
        <w:ind w:left="105" w:leftChars="50" w:firstLine="480" w:firstLineChars="200"/>
        <w:jc w:val="center"/>
        <w:rPr>
          <w:rFonts w:eastAsia="黑体"/>
          <w:sz w:val="24"/>
          <w:szCs w:val="24"/>
        </w:rPr>
      </w:pPr>
      <w:r>
        <w:rPr>
          <w:rFonts w:eastAsia="黑体"/>
          <w:sz w:val="24"/>
          <w:szCs w:val="24"/>
        </w:rPr>
        <w:t>表2 化学物质</w:t>
      </w:r>
      <w:r>
        <w:rPr>
          <w:rFonts w:hint="eastAsia" w:eastAsia="黑体"/>
          <w:sz w:val="24"/>
          <w:szCs w:val="24"/>
        </w:rPr>
        <w:t>TER</w:t>
      </w:r>
      <w:r>
        <w:rPr>
          <w:rFonts w:eastAsia="黑体"/>
          <w:sz w:val="24"/>
          <w:szCs w:val="24"/>
        </w:rPr>
        <w:t>值测试结果统计学分析</w:t>
      </w:r>
    </w:p>
    <w:tbl>
      <w:tblPr>
        <w:tblStyle w:val="10"/>
        <w:tblW w:w="6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701"/>
        <w:gridCol w:w="1678"/>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jc w:val="center"/>
        </w:trPr>
        <w:tc>
          <w:tcPr>
            <w:tcW w:w="1722" w:type="dxa"/>
            <w:vMerge w:val="restart"/>
            <w:tcBorders>
              <w:top w:val="single" w:color="auto" w:sz="12" w:space="0"/>
              <w:left w:val="nil"/>
              <w:right w:val="nil"/>
            </w:tcBorders>
            <w:vAlign w:val="center"/>
          </w:tcPr>
          <w:p>
            <w:pPr>
              <w:jc w:val="center"/>
              <w:rPr>
                <w:sz w:val="24"/>
                <w:szCs w:val="24"/>
              </w:rPr>
            </w:pPr>
            <w:r>
              <w:rPr>
                <w:rFonts w:hint="eastAsia"/>
                <w:sz w:val="24"/>
                <w:szCs w:val="24"/>
              </w:rPr>
              <w:t>参考腐蚀性</w:t>
            </w:r>
          </w:p>
        </w:tc>
        <w:tc>
          <w:tcPr>
            <w:tcW w:w="3379" w:type="dxa"/>
            <w:gridSpan w:val="2"/>
            <w:tcBorders>
              <w:top w:val="single" w:color="auto" w:sz="12" w:space="0"/>
              <w:left w:val="nil"/>
              <w:bottom w:val="single" w:color="auto" w:sz="12" w:space="0"/>
              <w:right w:val="nil"/>
            </w:tcBorders>
            <w:vAlign w:val="top"/>
          </w:tcPr>
          <w:p>
            <w:pPr>
              <w:jc w:val="center"/>
              <w:rPr>
                <w:rFonts w:hint="eastAsia"/>
                <w:sz w:val="24"/>
                <w:szCs w:val="24"/>
              </w:rPr>
            </w:pPr>
            <w:r>
              <w:rPr>
                <w:sz w:val="24"/>
                <w:szCs w:val="24"/>
              </w:rPr>
              <w:t>TER试验</w:t>
            </w:r>
            <w:r>
              <w:rPr>
                <w:rFonts w:hint="eastAsia"/>
                <w:sz w:val="24"/>
                <w:szCs w:val="24"/>
              </w:rPr>
              <w:t>（</w:t>
            </w:r>
            <w:r>
              <w:rPr>
                <w:sz w:val="24"/>
                <w:szCs w:val="24"/>
              </w:rPr>
              <w:t>方案</w:t>
            </w:r>
            <w:r>
              <w:rPr>
                <w:rFonts w:hint="eastAsia"/>
                <w:sz w:val="24"/>
                <w:szCs w:val="24"/>
              </w:rPr>
              <w:t>E）</w:t>
            </w:r>
          </w:p>
        </w:tc>
        <w:tc>
          <w:tcPr>
            <w:tcW w:w="1698" w:type="dxa"/>
            <w:vMerge w:val="restart"/>
            <w:tcBorders>
              <w:top w:val="single" w:color="auto" w:sz="12" w:space="0"/>
              <w:left w:val="nil"/>
              <w:bottom w:val="single" w:color="auto" w:sz="12" w:space="0"/>
              <w:right w:val="nil"/>
            </w:tcBorders>
            <w:vAlign w:val="center"/>
          </w:tcPr>
          <w:p>
            <w:pPr>
              <w:jc w:val="center"/>
              <w:rPr>
                <w:sz w:val="24"/>
                <w:szCs w:val="24"/>
              </w:rPr>
            </w:pPr>
            <w:r>
              <w:rPr>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 w:hRule="atLeast"/>
          <w:jc w:val="center"/>
        </w:trPr>
        <w:tc>
          <w:tcPr>
            <w:tcW w:w="1722" w:type="dxa"/>
            <w:vMerge w:val="continue"/>
            <w:tcBorders>
              <w:left w:val="nil"/>
              <w:bottom w:val="single" w:color="auto" w:sz="12" w:space="0"/>
              <w:right w:val="nil"/>
            </w:tcBorders>
            <w:vAlign w:val="top"/>
          </w:tcPr>
          <w:p>
            <w:pPr>
              <w:rPr>
                <w:sz w:val="24"/>
                <w:szCs w:val="24"/>
              </w:rPr>
            </w:pPr>
          </w:p>
        </w:tc>
        <w:tc>
          <w:tcPr>
            <w:tcW w:w="1701" w:type="dxa"/>
            <w:tcBorders>
              <w:top w:val="single" w:color="auto" w:sz="12" w:space="0"/>
              <w:left w:val="nil"/>
              <w:bottom w:val="single" w:color="auto" w:sz="12" w:space="0"/>
              <w:right w:val="nil"/>
            </w:tcBorders>
            <w:vAlign w:val="top"/>
          </w:tcPr>
          <w:p>
            <w:pPr>
              <w:jc w:val="center"/>
              <w:rPr>
                <w:sz w:val="24"/>
                <w:szCs w:val="24"/>
              </w:rPr>
            </w:pPr>
            <w:r>
              <w:rPr>
                <w:sz w:val="24"/>
                <w:szCs w:val="24"/>
              </w:rPr>
              <w:t>+</w:t>
            </w:r>
          </w:p>
        </w:tc>
        <w:tc>
          <w:tcPr>
            <w:tcW w:w="1678" w:type="dxa"/>
            <w:tcBorders>
              <w:top w:val="single" w:color="auto" w:sz="12" w:space="0"/>
              <w:left w:val="nil"/>
              <w:bottom w:val="single" w:color="auto" w:sz="12" w:space="0"/>
              <w:right w:val="nil"/>
            </w:tcBorders>
            <w:vAlign w:val="top"/>
          </w:tcPr>
          <w:p>
            <w:pPr>
              <w:jc w:val="center"/>
              <w:rPr>
                <w:sz w:val="24"/>
                <w:szCs w:val="24"/>
              </w:rPr>
            </w:pPr>
            <w:r>
              <w:rPr>
                <w:sz w:val="24"/>
                <w:szCs w:val="24"/>
              </w:rPr>
              <w:t>-</w:t>
            </w:r>
          </w:p>
        </w:tc>
        <w:tc>
          <w:tcPr>
            <w:tcW w:w="1698" w:type="dxa"/>
            <w:vMerge w:val="continue"/>
            <w:tcBorders>
              <w:left w:val="nil"/>
              <w:bottom w:val="single" w:color="auto" w:sz="12" w:space="0"/>
              <w:right w:val="nil"/>
            </w:tcBorders>
            <w:vAlign w:val="top"/>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722" w:type="dxa"/>
            <w:tcBorders>
              <w:top w:val="single" w:color="auto" w:sz="12" w:space="0"/>
              <w:left w:val="nil"/>
              <w:bottom w:val="nil"/>
              <w:right w:val="nil"/>
            </w:tcBorders>
            <w:vAlign w:val="top"/>
          </w:tcPr>
          <w:p>
            <w:pPr>
              <w:jc w:val="center"/>
              <w:rPr>
                <w:sz w:val="24"/>
                <w:szCs w:val="24"/>
              </w:rPr>
            </w:pPr>
            <w:r>
              <w:rPr>
                <w:sz w:val="24"/>
                <w:szCs w:val="24"/>
              </w:rPr>
              <w:t>+</w:t>
            </w:r>
          </w:p>
        </w:tc>
        <w:tc>
          <w:tcPr>
            <w:tcW w:w="1701" w:type="dxa"/>
            <w:tcBorders>
              <w:top w:val="single" w:color="auto" w:sz="12" w:space="0"/>
              <w:left w:val="nil"/>
              <w:bottom w:val="nil"/>
              <w:right w:val="nil"/>
            </w:tcBorders>
            <w:vAlign w:val="top"/>
          </w:tcPr>
          <w:p>
            <w:pPr>
              <w:jc w:val="center"/>
              <w:rPr>
                <w:sz w:val="24"/>
                <w:szCs w:val="24"/>
              </w:rPr>
            </w:pPr>
            <w:r>
              <w:rPr>
                <w:sz w:val="24"/>
                <w:szCs w:val="24"/>
              </w:rPr>
              <w:t>10</w:t>
            </w:r>
          </w:p>
        </w:tc>
        <w:tc>
          <w:tcPr>
            <w:tcW w:w="1678" w:type="dxa"/>
            <w:tcBorders>
              <w:top w:val="single" w:color="auto" w:sz="12" w:space="0"/>
              <w:left w:val="nil"/>
              <w:bottom w:val="nil"/>
              <w:right w:val="nil"/>
            </w:tcBorders>
            <w:vAlign w:val="top"/>
          </w:tcPr>
          <w:p>
            <w:pPr>
              <w:jc w:val="center"/>
              <w:rPr>
                <w:sz w:val="24"/>
                <w:szCs w:val="24"/>
              </w:rPr>
            </w:pPr>
            <w:r>
              <w:rPr>
                <w:sz w:val="24"/>
                <w:szCs w:val="24"/>
              </w:rPr>
              <w:t>0</w:t>
            </w:r>
          </w:p>
        </w:tc>
        <w:tc>
          <w:tcPr>
            <w:tcW w:w="1698" w:type="dxa"/>
            <w:tcBorders>
              <w:top w:val="single" w:color="auto" w:sz="12" w:space="0"/>
              <w:left w:val="nil"/>
              <w:bottom w:val="nil"/>
              <w:right w:val="nil"/>
            </w:tcBorders>
            <w:vAlign w:val="top"/>
          </w:tcPr>
          <w:p>
            <w:pPr>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722" w:type="dxa"/>
            <w:tcBorders>
              <w:top w:val="nil"/>
              <w:left w:val="nil"/>
              <w:bottom w:val="single" w:color="auto" w:sz="12" w:space="0"/>
              <w:right w:val="nil"/>
            </w:tcBorders>
            <w:vAlign w:val="top"/>
          </w:tcPr>
          <w:p>
            <w:pPr>
              <w:jc w:val="center"/>
              <w:rPr>
                <w:sz w:val="24"/>
                <w:szCs w:val="24"/>
              </w:rPr>
            </w:pPr>
            <w:r>
              <w:rPr>
                <w:sz w:val="24"/>
                <w:szCs w:val="24"/>
              </w:rPr>
              <w:t>-</w:t>
            </w:r>
          </w:p>
        </w:tc>
        <w:tc>
          <w:tcPr>
            <w:tcW w:w="1701" w:type="dxa"/>
            <w:tcBorders>
              <w:top w:val="nil"/>
              <w:left w:val="nil"/>
              <w:bottom w:val="single" w:color="auto" w:sz="12" w:space="0"/>
              <w:right w:val="nil"/>
            </w:tcBorders>
            <w:vAlign w:val="top"/>
          </w:tcPr>
          <w:p>
            <w:pPr>
              <w:jc w:val="center"/>
              <w:rPr>
                <w:sz w:val="24"/>
                <w:szCs w:val="24"/>
              </w:rPr>
            </w:pPr>
            <w:r>
              <w:rPr>
                <w:sz w:val="24"/>
                <w:szCs w:val="24"/>
              </w:rPr>
              <w:t>1</w:t>
            </w:r>
          </w:p>
        </w:tc>
        <w:tc>
          <w:tcPr>
            <w:tcW w:w="1678" w:type="dxa"/>
            <w:tcBorders>
              <w:top w:val="nil"/>
              <w:left w:val="nil"/>
              <w:bottom w:val="single" w:color="auto" w:sz="12" w:space="0"/>
              <w:right w:val="nil"/>
            </w:tcBorders>
            <w:vAlign w:val="top"/>
          </w:tcPr>
          <w:p>
            <w:pPr>
              <w:jc w:val="center"/>
              <w:rPr>
                <w:sz w:val="24"/>
                <w:szCs w:val="24"/>
              </w:rPr>
            </w:pPr>
            <w:r>
              <w:rPr>
                <w:sz w:val="24"/>
                <w:szCs w:val="24"/>
              </w:rPr>
              <w:t>8</w:t>
            </w:r>
          </w:p>
        </w:tc>
        <w:tc>
          <w:tcPr>
            <w:tcW w:w="1698" w:type="dxa"/>
            <w:tcBorders>
              <w:top w:val="nil"/>
              <w:left w:val="nil"/>
              <w:bottom w:val="single" w:color="auto" w:sz="12" w:space="0"/>
              <w:right w:val="nil"/>
            </w:tcBorders>
            <w:vAlign w:val="top"/>
          </w:tcPr>
          <w:p>
            <w:pPr>
              <w:jc w:val="center"/>
              <w:rPr>
                <w:sz w:val="24"/>
                <w:szCs w:val="24"/>
              </w:rPr>
            </w:pPr>
            <w:r>
              <w:rPr>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722" w:type="dxa"/>
            <w:tcBorders>
              <w:top w:val="single" w:color="auto" w:sz="12" w:space="0"/>
              <w:left w:val="nil"/>
              <w:bottom w:val="nil"/>
              <w:right w:val="nil"/>
            </w:tcBorders>
            <w:vAlign w:val="top"/>
          </w:tcPr>
          <w:p>
            <w:pPr>
              <w:jc w:val="center"/>
              <w:rPr>
                <w:sz w:val="24"/>
                <w:szCs w:val="24"/>
              </w:rPr>
            </w:pPr>
            <w:r>
              <w:rPr>
                <w:sz w:val="24"/>
                <w:szCs w:val="24"/>
              </w:rPr>
              <w:t>合   计</w:t>
            </w:r>
          </w:p>
        </w:tc>
        <w:tc>
          <w:tcPr>
            <w:tcW w:w="1701" w:type="dxa"/>
            <w:tcBorders>
              <w:top w:val="single" w:color="auto" w:sz="12" w:space="0"/>
              <w:left w:val="nil"/>
              <w:bottom w:val="nil"/>
              <w:right w:val="nil"/>
            </w:tcBorders>
            <w:vAlign w:val="top"/>
          </w:tcPr>
          <w:p>
            <w:pPr>
              <w:jc w:val="center"/>
              <w:rPr>
                <w:sz w:val="24"/>
                <w:szCs w:val="24"/>
              </w:rPr>
            </w:pPr>
            <w:r>
              <w:rPr>
                <w:sz w:val="24"/>
                <w:szCs w:val="24"/>
              </w:rPr>
              <w:t>11</w:t>
            </w:r>
          </w:p>
        </w:tc>
        <w:tc>
          <w:tcPr>
            <w:tcW w:w="1678" w:type="dxa"/>
            <w:tcBorders>
              <w:top w:val="single" w:color="auto" w:sz="12" w:space="0"/>
              <w:left w:val="nil"/>
              <w:bottom w:val="nil"/>
              <w:right w:val="nil"/>
            </w:tcBorders>
            <w:vAlign w:val="top"/>
          </w:tcPr>
          <w:p>
            <w:pPr>
              <w:jc w:val="center"/>
              <w:rPr>
                <w:sz w:val="24"/>
                <w:szCs w:val="24"/>
              </w:rPr>
            </w:pPr>
            <w:r>
              <w:rPr>
                <w:sz w:val="24"/>
                <w:szCs w:val="24"/>
              </w:rPr>
              <w:t>8</w:t>
            </w:r>
          </w:p>
        </w:tc>
        <w:tc>
          <w:tcPr>
            <w:tcW w:w="1698" w:type="dxa"/>
            <w:tcBorders>
              <w:top w:val="single" w:color="auto" w:sz="12" w:space="0"/>
              <w:left w:val="nil"/>
              <w:bottom w:val="nil"/>
              <w:right w:val="nil"/>
            </w:tcBorders>
            <w:vAlign w:val="top"/>
          </w:tcPr>
          <w:p>
            <w:pPr>
              <w:jc w:val="center"/>
              <w:rPr>
                <w:sz w:val="24"/>
                <w:szCs w:val="24"/>
              </w:rPr>
            </w:pPr>
            <w:r>
              <w:rPr>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799" w:type="dxa"/>
            <w:gridSpan w:val="4"/>
            <w:tcBorders>
              <w:top w:val="nil"/>
              <w:left w:val="nil"/>
              <w:bottom w:val="nil"/>
              <w:right w:val="nil"/>
            </w:tcBorders>
            <w:vAlign w:val="top"/>
          </w:tcPr>
          <w:p>
            <w:pPr>
              <w:rPr>
                <w:szCs w:val="21"/>
              </w:rPr>
            </w:pPr>
            <w:r>
              <w:rPr>
                <w:szCs w:val="21"/>
              </w:rPr>
              <w:t>注：经校正χ</w:t>
            </w:r>
            <w:r>
              <w:rPr>
                <w:szCs w:val="21"/>
                <w:vertAlign w:val="superscript"/>
              </w:rPr>
              <w:t>2</w:t>
            </w:r>
            <w:r>
              <w:rPr>
                <w:szCs w:val="21"/>
              </w:rPr>
              <w:t>检验（p&gt;0.05），</w:t>
            </w:r>
            <w:r>
              <w:rPr>
                <w:rFonts w:hint="eastAsia"/>
                <w:szCs w:val="21"/>
              </w:rPr>
              <w:t>T</w:t>
            </w:r>
            <w:r>
              <w:rPr>
                <w:szCs w:val="21"/>
              </w:rPr>
              <w:t>ER方法</w:t>
            </w:r>
            <w:r>
              <w:rPr>
                <w:rFonts w:hint="eastAsia"/>
                <w:szCs w:val="21"/>
              </w:rPr>
              <w:t>结果</w:t>
            </w:r>
            <w:r>
              <w:rPr>
                <w:szCs w:val="21"/>
              </w:rPr>
              <w:t>无显著性差异。</w:t>
            </w:r>
          </w:p>
          <w:p>
            <w:pPr>
              <w:rPr>
                <w:szCs w:val="21"/>
              </w:rPr>
            </w:pPr>
            <w:r>
              <w:rPr>
                <w:szCs w:val="21"/>
              </w:rPr>
              <w:t>灵敏度（真阳性率，TPR）＝10/10=100%, 特异度(Spe)＝8/9=89%</w:t>
            </w:r>
          </w:p>
          <w:p>
            <w:pPr>
              <w:rPr>
                <w:szCs w:val="21"/>
              </w:rPr>
            </w:pPr>
            <w:r>
              <w:rPr>
                <w:szCs w:val="21"/>
              </w:rPr>
              <w:t>阳性预测价值（PV＋）=10/11=0.9</w:t>
            </w:r>
            <w:r>
              <w:rPr>
                <w:rFonts w:hint="eastAsia"/>
                <w:szCs w:val="21"/>
              </w:rPr>
              <w:t>，</w:t>
            </w:r>
            <w:r>
              <w:rPr>
                <w:szCs w:val="21"/>
              </w:rPr>
              <w:t>阴性预测价值（PV－）=8/8=1</w:t>
            </w:r>
          </w:p>
          <w:p>
            <w:pPr>
              <w:rPr>
                <w:rFonts w:hint="eastAsia"/>
                <w:szCs w:val="21"/>
              </w:rPr>
            </w:pPr>
            <w:r>
              <w:rPr>
                <w:szCs w:val="21"/>
              </w:rPr>
              <w:t>假阳性率（FPR）＝1-Spe＝11％</w:t>
            </w:r>
            <w:r>
              <w:rPr>
                <w:rFonts w:hint="eastAsia"/>
                <w:szCs w:val="21"/>
              </w:rPr>
              <w:t>，</w:t>
            </w:r>
            <w:r>
              <w:rPr>
                <w:szCs w:val="21"/>
              </w:rPr>
              <w:t>阳性似然比（LR</w:t>
            </w:r>
            <w:r>
              <w:rPr>
                <w:szCs w:val="21"/>
                <w:vertAlign w:val="subscript"/>
              </w:rPr>
              <w:t>＋</w:t>
            </w:r>
            <w:r>
              <w:rPr>
                <w:szCs w:val="21"/>
              </w:rPr>
              <w:t>）＝TPR/FPR＝9.09</w:t>
            </w:r>
            <w:r>
              <w:rPr>
                <w:rFonts w:hint="eastAsia"/>
                <w:szCs w:val="21"/>
              </w:rPr>
              <w:t>，</w:t>
            </w:r>
          </w:p>
          <w:p>
            <w:pPr>
              <w:rPr>
                <w:szCs w:val="21"/>
              </w:rPr>
            </w:pPr>
            <w:r>
              <w:rPr>
                <w:szCs w:val="21"/>
              </w:rPr>
              <w:t>Youden指数（J）＝TPR-FPR=0.89</w:t>
            </w:r>
            <w:r>
              <w:rPr>
                <w:rFonts w:hint="eastAsia"/>
                <w:szCs w:val="21"/>
              </w:rPr>
              <w:t>，</w:t>
            </w:r>
            <w:r>
              <w:rPr>
                <w:szCs w:val="21"/>
              </w:rPr>
              <w:t>符合率</w:t>
            </w:r>
            <w:r>
              <w:rPr>
                <w:rFonts w:hint="eastAsia"/>
                <w:szCs w:val="21"/>
              </w:rPr>
              <w:t xml:space="preserve"> </w:t>
            </w:r>
            <w:r>
              <w:rPr>
                <w:szCs w:val="21"/>
              </w:rPr>
              <w:t>P0=18/19=0.9474</w:t>
            </w:r>
          </w:p>
          <w:p>
            <w:pPr>
              <w:rPr>
                <w:sz w:val="24"/>
                <w:szCs w:val="24"/>
              </w:rPr>
            </w:pPr>
            <w:r>
              <w:rPr>
                <w:szCs w:val="21"/>
              </w:rPr>
              <w:t>Kappa 指数</w:t>
            </w:r>
            <w:r>
              <w:rPr>
                <w:rFonts w:hint="eastAsia"/>
                <w:szCs w:val="21"/>
              </w:rPr>
              <w:t xml:space="preserve"> </w:t>
            </w:r>
            <w:r>
              <w:rPr>
                <w:szCs w:val="21"/>
              </w:rPr>
              <w:t>k=</w:t>
            </w:r>
            <w:r>
              <w:rPr>
                <w:rFonts w:hint="eastAsia"/>
                <w:szCs w:val="21"/>
              </w:rPr>
              <w:t>（</w:t>
            </w:r>
            <w:r>
              <w:rPr>
                <w:szCs w:val="21"/>
              </w:rPr>
              <w:t>P0-Pe</w:t>
            </w:r>
            <w:r>
              <w:rPr>
                <w:rFonts w:hint="eastAsia"/>
                <w:szCs w:val="21"/>
              </w:rPr>
              <w:t>）</w:t>
            </w:r>
            <w:r>
              <w:rPr>
                <w:szCs w:val="21"/>
              </w:rPr>
              <w:t>/</w:t>
            </w:r>
            <w:r>
              <w:rPr>
                <w:rFonts w:hint="eastAsia"/>
                <w:szCs w:val="21"/>
              </w:rPr>
              <w:t>（</w:t>
            </w:r>
            <w:r>
              <w:rPr>
                <w:szCs w:val="21"/>
              </w:rPr>
              <w:t>1-Pe</w:t>
            </w:r>
            <w:r>
              <w:rPr>
                <w:rFonts w:hint="eastAsia"/>
                <w:szCs w:val="21"/>
              </w:rPr>
              <w:t>）</w:t>
            </w:r>
            <w:r>
              <w:rPr>
                <w:szCs w:val="21"/>
              </w:rPr>
              <w:t>=0.95</w:t>
            </w:r>
          </w:p>
        </w:tc>
      </w:tr>
    </w:tbl>
    <w:p>
      <w:pPr>
        <w:spacing w:line="400" w:lineRule="exact"/>
        <w:ind w:left="105" w:leftChars="50" w:firstLine="480" w:firstLineChars="200"/>
        <w:rPr>
          <w:rFonts w:hint="eastAsia"/>
          <w:sz w:val="24"/>
          <w:szCs w:val="24"/>
        </w:rPr>
      </w:pPr>
    </w:p>
    <w:p>
      <w:pPr>
        <w:pStyle w:val="2"/>
        <w:spacing w:line="360" w:lineRule="exact"/>
        <w:rPr>
          <w:rFonts w:hint="eastAsia" w:ascii="Times New Roman" w:hAnsi="Times New Roman"/>
          <w:b w:val="0"/>
          <w:bCs/>
          <w:sz w:val="24"/>
          <w:szCs w:val="24"/>
        </w:rPr>
      </w:pPr>
      <w:r>
        <w:rPr>
          <w:rFonts w:ascii="Times New Roman" w:hAnsi="Times New Roman"/>
          <w:b w:val="0"/>
          <w:bCs/>
          <w:sz w:val="24"/>
          <w:szCs w:val="24"/>
        </w:rPr>
        <w:t xml:space="preserve">2. </w:t>
      </w:r>
      <w:r>
        <w:rPr>
          <w:rFonts w:hint="eastAsia" w:ascii="Times New Roman" w:hAnsi="Times New Roman"/>
          <w:b w:val="0"/>
          <w:bCs/>
          <w:sz w:val="24"/>
          <w:szCs w:val="24"/>
        </w:rPr>
        <w:t>其他影响</w:t>
      </w:r>
      <w:r>
        <w:rPr>
          <w:rFonts w:ascii="Times New Roman" w:hAnsi="Times New Roman"/>
          <w:b w:val="0"/>
          <w:bCs/>
          <w:sz w:val="24"/>
          <w:szCs w:val="24"/>
        </w:rPr>
        <w:t>结果的因素</w:t>
      </w:r>
    </w:p>
    <w:p>
      <w:pPr>
        <w:spacing w:line="400" w:lineRule="exact"/>
        <w:ind w:left="105" w:leftChars="50" w:firstLine="480" w:firstLineChars="200"/>
        <w:rPr>
          <w:rFonts w:hint="eastAsia"/>
          <w:sz w:val="24"/>
          <w:szCs w:val="24"/>
        </w:rPr>
      </w:pPr>
      <w:r>
        <w:rPr>
          <w:rFonts w:hint="eastAsia"/>
          <w:sz w:val="24"/>
          <w:szCs w:val="24"/>
        </w:rPr>
        <w:t>在试验</w:t>
      </w:r>
      <w:r>
        <w:rPr>
          <w:sz w:val="24"/>
          <w:szCs w:val="24"/>
        </w:rPr>
        <w:t>过程中，</w:t>
      </w:r>
      <w:r>
        <w:rPr>
          <w:rFonts w:hint="eastAsia"/>
          <w:sz w:val="24"/>
          <w:szCs w:val="24"/>
        </w:rPr>
        <w:t>大鼠</w:t>
      </w:r>
      <w:r>
        <w:rPr>
          <w:sz w:val="24"/>
          <w:szCs w:val="24"/>
        </w:rPr>
        <w:t>皮片</w:t>
      </w:r>
      <w:r>
        <w:rPr>
          <w:rFonts w:hint="eastAsia"/>
          <w:sz w:val="24"/>
          <w:szCs w:val="24"/>
        </w:rPr>
        <w:t>暴露</w:t>
      </w:r>
      <w:r>
        <w:rPr>
          <w:sz w:val="24"/>
          <w:szCs w:val="24"/>
        </w:rPr>
        <w:t>时间为</w:t>
      </w:r>
      <w:r>
        <w:rPr>
          <w:rFonts w:hint="eastAsia"/>
          <w:sz w:val="24"/>
          <w:szCs w:val="24"/>
        </w:rPr>
        <w:t>24小时，</w:t>
      </w:r>
      <w:r>
        <w:rPr>
          <w:sz w:val="24"/>
          <w:szCs w:val="24"/>
        </w:rPr>
        <w:t>室温静置。静置</w:t>
      </w:r>
      <w:r>
        <w:rPr>
          <w:rFonts w:hint="eastAsia"/>
          <w:sz w:val="24"/>
          <w:szCs w:val="24"/>
        </w:rPr>
        <w:t>时</w:t>
      </w:r>
      <w:r>
        <w:rPr>
          <w:sz w:val="24"/>
          <w:szCs w:val="24"/>
        </w:rPr>
        <w:t>，</w:t>
      </w:r>
      <w:r>
        <w:rPr>
          <w:rFonts w:hint="eastAsia"/>
          <w:sz w:val="24"/>
          <w:szCs w:val="24"/>
        </w:rPr>
        <w:t>皮片</w:t>
      </w:r>
      <w:r>
        <w:rPr>
          <w:sz w:val="24"/>
          <w:szCs w:val="24"/>
        </w:rPr>
        <w:t>的环境湿度对皮片</w:t>
      </w:r>
      <w:r>
        <w:rPr>
          <w:rFonts w:hint="eastAsia"/>
          <w:sz w:val="24"/>
          <w:szCs w:val="24"/>
        </w:rPr>
        <w:t>状态</w:t>
      </w:r>
      <w:r>
        <w:rPr>
          <w:sz w:val="24"/>
          <w:szCs w:val="24"/>
        </w:rPr>
        <w:t>影响较大，</w:t>
      </w:r>
      <w:r>
        <w:rPr>
          <w:rFonts w:hint="eastAsia"/>
          <w:sz w:val="24"/>
          <w:szCs w:val="24"/>
        </w:rPr>
        <w:t>环境</w:t>
      </w:r>
      <w:r>
        <w:rPr>
          <w:sz w:val="24"/>
          <w:szCs w:val="24"/>
        </w:rPr>
        <w:t>过于干燥会</w:t>
      </w:r>
      <w:r>
        <w:rPr>
          <w:rFonts w:hint="eastAsia"/>
          <w:sz w:val="24"/>
          <w:szCs w:val="24"/>
        </w:rPr>
        <w:t>加速</w:t>
      </w:r>
      <w:r>
        <w:rPr>
          <w:sz w:val="24"/>
          <w:szCs w:val="24"/>
        </w:rPr>
        <w:t>皮片破裂。</w:t>
      </w:r>
      <w:r>
        <w:rPr>
          <w:rFonts w:hint="eastAsia"/>
          <w:sz w:val="24"/>
          <w:szCs w:val="24"/>
        </w:rPr>
        <w:t>但OECD或</w:t>
      </w:r>
      <w:r>
        <w:rPr>
          <w:sz w:val="24"/>
          <w:szCs w:val="24"/>
        </w:rPr>
        <w:t>美国</w:t>
      </w:r>
      <w:r>
        <w:rPr>
          <w:rFonts w:hint="eastAsia"/>
          <w:sz w:val="24"/>
          <w:szCs w:val="24"/>
        </w:rPr>
        <w:t>ICCVAM的</w:t>
      </w:r>
      <w:r>
        <w:rPr>
          <w:sz w:val="24"/>
          <w:szCs w:val="24"/>
        </w:rPr>
        <w:t>标准中，均未有对环境湿度的详细规定</w:t>
      </w:r>
      <w:r>
        <w:rPr>
          <w:rFonts w:hint="eastAsia"/>
          <w:sz w:val="24"/>
          <w:szCs w:val="24"/>
        </w:rPr>
        <w:t>，因此</w:t>
      </w:r>
      <w:r>
        <w:rPr>
          <w:sz w:val="24"/>
          <w:szCs w:val="24"/>
        </w:rPr>
        <w:t>建议试验时恒温恒湿</w:t>
      </w:r>
      <w:r>
        <w:rPr>
          <w:rFonts w:hint="eastAsia"/>
          <w:sz w:val="24"/>
          <w:szCs w:val="24"/>
        </w:rPr>
        <w:t>静置</w:t>
      </w:r>
      <w:r>
        <w:rPr>
          <w:sz w:val="24"/>
          <w:szCs w:val="24"/>
        </w:rPr>
        <w:t>。</w:t>
      </w:r>
    </w:p>
    <w:p>
      <w:pPr>
        <w:spacing w:line="400" w:lineRule="exact"/>
        <w:ind w:left="105" w:leftChars="50" w:firstLine="480" w:firstLineChars="200"/>
        <w:rPr>
          <w:rFonts w:hint="eastAsia"/>
          <w:sz w:val="24"/>
          <w:szCs w:val="24"/>
        </w:rPr>
      </w:pPr>
      <w:r>
        <w:rPr>
          <w:rFonts w:hint="eastAsia"/>
          <w:sz w:val="24"/>
          <w:szCs w:val="24"/>
        </w:rPr>
        <w:t>试验阳性</w:t>
      </w:r>
      <w:r>
        <w:rPr>
          <w:sz w:val="24"/>
          <w:szCs w:val="24"/>
        </w:rPr>
        <w:t>参考物</w:t>
      </w:r>
      <w:r>
        <w:rPr>
          <w:rFonts w:hint="eastAsia"/>
          <w:sz w:val="24"/>
          <w:szCs w:val="24"/>
        </w:rPr>
        <w:t>10M HC</w:t>
      </w:r>
      <w:r>
        <w:rPr>
          <w:sz w:val="24"/>
          <w:szCs w:val="24"/>
        </w:rPr>
        <w:t>l</w:t>
      </w:r>
      <w:r>
        <w:rPr>
          <w:rFonts w:hint="eastAsia"/>
          <w:sz w:val="24"/>
          <w:szCs w:val="24"/>
        </w:rPr>
        <w:t>，</w:t>
      </w:r>
      <w:r>
        <w:rPr>
          <w:sz w:val="24"/>
          <w:szCs w:val="24"/>
        </w:rPr>
        <w:t>经常会烧穿皮片，无法进行罗丹明</w:t>
      </w:r>
      <w:r>
        <w:rPr>
          <w:rFonts w:hint="eastAsia"/>
          <w:sz w:val="24"/>
          <w:szCs w:val="24"/>
        </w:rPr>
        <w:t>B染色的</w:t>
      </w:r>
      <w:r>
        <w:rPr>
          <w:sz w:val="24"/>
          <w:szCs w:val="24"/>
        </w:rPr>
        <w:t>步骤</w:t>
      </w:r>
      <w:r>
        <w:rPr>
          <w:rFonts w:hint="eastAsia"/>
          <w:sz w:val="24"/>
          <w:szCs w:val="24"/>
        </w:rPr>
        <w:t>，</w:t>
      </w:r>
      <w:r>
        <w:rPr>
          <w:sz w:val="24"/>
          <w:szCs w:val="24"/>
        </w:rPr>
        <w:t>进而影响其他需染色受试物结果</w:t>
      </w:r>
      <w:r>
        <w:rPr>
          <w:rFonts w:hint="eastAsia"/>
          <w:sz w:val="24"/>
          <w:szCs w:val="24"/>
        </w:rPr>
        <w:t>的</w:t>
      </w:r>
      <w:r>
        <w:rPr>
          <w:sz w:val="24"/>
          <w:szCs w:val="24"/>
        </w:rPr>
        <w:t>判定。</w:t>
      </w:r>
      <w:r>
        <w:rPr>
          <w:rFonts w:hint="eastAsia"/>
          <w:sz w:val="24"/>
          <w:szCs w:val="24"/>
        </w:rPr>
        <w:t>可</w:t>
      </w:r>
      <w:r>
        <w:rPr>
          <w:sz w:val="24"/>
          <w:szCs w:val="24"/>
        </w:rPr>
        <w:t>使用</w:t>
      </w:r>
      <w:r>
        <w:rPr>
          <w:rFonts w:hint="eastAsia"/>
          <w:sz w:val="24"/>
          <w:szCs w:val="24"/>
        </w:rPr>
        <w:t>8M HC</w:t>
      </w:r>
      <w:r>
        <w:rPr>
          <w:sz w:val="24"/>
          <w:szCs w:val="24"/>
        </w:rPr>
        <w:t>l</w:t>
      </w:r>
      <w:r>
        <w:rPr>
          <w:rFonts w:hint="eastAsia"/>
          <w:sz w:val="24"/>
          <w:szCs w:val="24"/>
        </w:rPr>
        <w:t>作为阳性对照</w:t>
      </w:r>
      <w:r>
        <w:rPr>
          <w:sz w:val="24"/>
          <w:szCs w:val="24"/>
        </w:rPr>
        <w:t>。</w:t>
      </w:r>
    </w:p>
    <w:p>
      <w:pPr>
        <w:pStyle w:val="2"/>
        <w:spacing w:line="360" w:lineRule="exact"/>
        <w:rPr>
          <w:rFonts w:ascii="Times New Roman" w:hAnsi="Times New Roman"/>
          <w:b w:val="0"/>
          <w:bCs/>
          <w:sz w:val="24"/>
          <w:szCs w:val="24"/>
        </w:rPr>
      </w:pPr>
      <w:r>
        <w:rPr>
          <w:rFonts w:ascii="Times New Roman" w:hAnsi="Times New Roman"/>
          <w:b w:val="0"/>
          <w:bCs/>
          <w:sz w:val="24"/>
          <w:szCs w:val="24"/>
        </w:rPr>
        <w:t>3. 本方法的可行性分析</w:t>
      </w:r>
    </w:p>
    <w:p>
      <w:pPr>
        <w:spacing w:line="400" w:lineRule="exact"/>
        <w:ind w:firstLine="480" w:firstLineChars="200"/>
        <w:rPr>
          <w:sz w:val="24"/>
          <w:szCs w:val="24"/>
        </w:rPr>
      </w:pPr>
      <w:r>
        <w:rPr>
          <w:sz w:val="24"/>
          <w:szCs w:val="24"/>
        </w:rPr>
        <w:t>本方法操作简便，课题所需的相关技术、人员、设备等条件易达到。我国开展化妆品检测的机构均具有建立本标准方法检测化妆品原料的条件和能力。</w:t>
      </w:r>
    </w:p>
    <w:p>
      <w:pPr>
        <w:spacing w:line="400" w:lineRule="exact"/>
        <w:ind w:firstLine="480" w:firstLineChars="200"/>
        <w:rPr>
          <w:sz w:val="24"/>
          <w:szCs w:val="24"/>
        </w:rPr>
      </w:pPr>
      <w:r>
        <w:rPr>
          <w:sz w:val="24"/>
          <w:szCs w:val="24"/>
        </w:rPr>
        <w:t>本方法建立过程中，通过分别邀请</w:t>
      </w:r>
      <w:r>
        <w:rPr>
          <w:rFonts w:hint="eastAsia"/>
          <w:sz w:val="24"/>
          <w:szCs w:val="24"/>
        </w:rPr>
        <w:t>北京市药检所</w:t>
      </w:r>
      <w:r>
        <w:rPr>
          <w:sz w:val="24"/>
          <w:szCs w:val="24"/>
        </w:rPr>
        <w:t>、</w:t>
      </w:r>
      <w:r>
        <w:rPr>
          <w:rFonts w:hint="eastAsia"/>
          <w:sz w:val="24"/>
          <w:szCs w:val="24"/>
        </w:rPr>
        <w:t>浙江省食品药品</w:t>
      </w:r>
      <w:r>
        <w:rPr>
          <w:sz w:val="24"/>
          <w:szCs w:val="24"/>
        </w:rPr>
        <w:t>检定研究院</w:t>
      </w:r>
      <w:r>
        <w:rPr>
          <w:rFonts w:hint="eastAsia"/>
          <w:sz w:val="24"/>
          <w:szCs w:val="24"/>
        </w:rPr>
        <w:t>、中国</w:t>
      </w:r>
      <w:r>
        <w:rPr>
          <w:sz w:val="24"/>
          <w:szCs w:val="24"/>
        </w:rPr>
        <w:t>检验检疫科学研究院</w:t>
      </w:r>
      <w:r>
        <w:rPr>
          <w:rFonts w:hint="eastAsia"/>
          <w:sz w:val="24"/>
          <w:szCs w:val="24"/>
        </w:rPr>
        <w:t>和广东CDC等4家</w:t>
      </w:r>
      <w:r>
        <w:rPr>
          <w:sz w:val="24"/>
          <w:szCs w:val="24"/>
        </w:rPr>
        <w:t>不同类型实验室参与了实验室间预验证，结果</w:t>
      </w:r>
      <w:r>
        <w:rPr>
          <w:rFonts w:hint="eastAsia"/>
          <w:sz w:val="24"/>
          <w:szCs w:val="24"/>
        </w:rPr>
        <w:t>大体</w:t>
      </w:r>
      <w:r>
        <w:rPr>
          <w:sz w:val="24"/>
          <w:szCs w:val="24"/>
        </w:rPr>
        <w:t>一致，表明本方法在我国实验室建立是可行的，建议</w:t>
      </w:r>
      <w:r>
        <w:rPr>
          <w:rFonts w:hint="eastAsia"/>
          <w:sz w:val="24"/>
          <w:szCs w:val="24"/>
        </w:rPr>
        <w:t>作为推荐性国家标准</w:t>
      </w:r>
      <w:r>
        <w:rPr>
          <w:sz w:val="24"/>
          <w:szCs w:val="24"/>
        </w:rPr>
        <w:t>。</w:t>
      </w:r>
    </w:p>
    <w:p>
      <w:pPr>
        <w:pStyle w:val="2"/>
        <w:spacing w:line="360" w:lineRule="exact"/>
        <w:rPr>
          <w:rFonts w:ascii="Times New Roman" w:hAnsi="Times New Roman"/>
          <w:b w:val="0"/>
          <w:bCs/>
          <w:sz w:val="24"/>
          <w:szCs w:val="24"/>
        </w:rPr>
      </w:pPr>
      <w:r>
        <w:rPr>
          <w:rFonts w:ascii="Times New Roman" w:hAnsi="Times New Roman"/>
          <w:b w:val="0"/>
          <w:bCs/>
          <w:sz w:val="24"/>
          <w:szCs w:val="24"/>
        </w:rPr>
        <w:t>4. 本方法与动物实验的比对结果</w:t>
      </w:r>
    </w:p>
    <w:p>
      <w:pPr>
        <w:spacing w:line="400" w:lineRule="exact"/>
        <w:ind w:firstLine="480" w:firstLineChars="200"/>
        <w:rPr>
          <w:rFonts w:hint="eastAsia"/>
          <w:sz w:val="24"/>
          <w:szCs w:val="24"/>
        </w:rPr>
      </w:pPr>
      <w:r>
        <w:rPr>
          <w:sz w:val="24"/>
          <w:szCs w:val="24"/>
        </w:rPr>
        <w:t>由于我国现行的检测化妆品</w:t>
      </w:r>
      <w:r>
        <w:rPr>
          <w:rFonts w:hint="eastAsia"/>
          <w:sz w:val="24"/>
          <w:szCs w:val="24"/>
        </w:rPr>
        <w:t>皮肤腐蚀性/刺激性</w:t>
      </w:r>
      <w:r>
        <w:rPr>
          <w:sz w:val="24"/>
          <w:szCs w:val="24"/>
        </w:rPr>
        <w:t>试验是整体动物试验，本方法为首次建立的体外测试化妆品原料</w:t>
      </w:r>
      <w:r>
        <w:rPr>
          <w:rFonts w:hint="eastAsia"/>
          <w:sz w:val="24"/>
          <w:szCs w:val="24"/>
        </w:rPr>
        <w:t>腐蚀</w:t>
      </w:r>
      <w:r>
        <w:rPr>
          <w:sz w:val="24"/>
          <w:szCs w:val="24"/>
        </w:rPr>
        <w:t>性的方法，为稳妥起见，本实验室按照课题设计研究思路将本方法与经典动物实验进行比对，</w:t>
      </w:r>
      <w:r>
        <w:rPr>
          <w:rFonts w:hint="eastAsia"/>
          <w:sz w:val="24"/>
          <w:szCs w:val="24"/>
        </w:rPr>
        <w:t>结果</w:t>
      </w:r>
      <w:r>
        <w:rPr>
          <w:sz w:val="24"/>
          <w:szCs w:val="24"/>
        </w:rPr>
        <w:t>显示：</w:t>
      </w:r>
      <w:r>
        <w:rPr>
          <w:rFonts w:hint="eastAsia"/>
          <w:sz w:val="24"/>
          <w:szCs w:val="24"/>
        </w:rPr>
        <w:t>18种</w:t>
      </w:r>
      <w:r>
        <w:rPr>
          <w:sz w:val="24"/>
          <w:szCs w:val="24"/>
        </w:rPr>
        <w:t>参照物中，8</w:t>
      </w:r>
      <w:r>
        <w:rPr>
          <w:rFonts w:hint="eastAsia"/>
          <w:sz w:val="24"/>
          <w:szCs w:val="24"/>
        </w:rPr>
        <w:t>种</w:t>
      </w:r>
      <w:r>
        <w:rPr>
          <w:sz w:val="24"/>
          <w:szCs w:val="24"/>
        </w:rPr>
        <w:t>为《化妆品卫生规范》中豁免动物试验的试剂（</w:t>
      </w:r>
      <w:r>
        <w:rPr>
          <w:rFonts w:hint="eastAsia"/>
          <w:sz w:val="24"/>
          <w:szCs w:val="24"/>
        </w:rPr>
        <w:t>受试物为强酸或强碱，即</w:t>
      </w:r>
      <w:r>
        <w:rPr>
          <w:sz w:val="24"/>
          <w:szCs w:val="24"/>
        </w:rPr>
        <w:t>pH</w:t>
      </w:r>
      <w:r>
        <w:rPr>
          <w:rFonts w:hint="eastAsia"/>
          <w:sz w:val="24"/>
          <w:szCs w:val="24"/>
        </w:rPr>
        <w:t>值</w:t>
      </w:r>
      <w:r>
        <w:rPr>
          <w:sz w:val="24"/>
          <w:szCs w:val="24"/>
        </w:rPr>
        <w:t>≤2</w:t>
      </w:r>
      <w:r>
        <w:rPr>
          <w:rFonts w:hint="eastAsia"/>
          <w:sz w:val="24"/>
          <w:szCs w:val="24"/>
        </w:rPr>
        <w:t>或</w:t>
      </w:r>
      <w:r>
        <w:rPr>
          <w:sz w:val="24"/>
          <w:szCs w:val="24"/>
        </w:rPr>
        <w:t>≥11.5</w:t>
      </w:r>
      <w:r>
        <w:rPr>
          <w:rFonts w:hint="eastAsia"/>
          <w:sz w:val="24"/>
          <w:szCs w:val="24"/>
        </w:rPr>
        <w:t>），可以不进行皮肤刺激试验。其余10种受试物中，大鼠经皮电阻</w:t>
      </w:r>
      <w:r>
        <w:rPr>
          <w:sz w:val="24"/>
          <w:szCs w:val="24"/>
        </w:rPr>
        <w:t>试验可将</w:t>
      </w:r>
      <w:r>
        <w:rPr>
          <w:rFonts w:hint="eastAsia"/>
          <w:sz w:val="24"/>
          <w:szCs w:val="24"/>
        </w:rPr>
        <w:t>3种已知皮肤</w:t>
      </w:r>
      <w:r>
        <w:rPr>
          <w:sz w:val="24"/>
          <w:szCs w:val="24"/>
        </w:rPr>
        <w:t>腐蚀性阳性物质和</w:t>
      </w:r>
      <w:r>
        <w:rPr>
          <w:rFonts w:hint="eastAsia"/>
          <w:sz w:val="24"/>
          <w:szCs w:val="24"/>
        </w:rPr>
        <w:t>6种</w:t>
      </w:r>
      <w:r>
        <w:rPr>
          <w:sz w:val="24"/>
          <w:szCs w:val="24"/>
        </w:rPr>
        <w:t>已知皮肤腐蚀性阴性物质</w:t>
      </w:r>
      <w:r>
        <w:rPr>
          <w:rFonts w:hint="eastAsia"/>
          <w:sz w:val="24"/>
          <w:szCs w:val="24"/>
        </w:rPr>
        <w:t>正确</w:t>
      </w:r>
      <w:r>
        <w:rPr>
          <w:sz w:val="24"/>
          <w:szCs w:val="24"/>
        </w:rPr>
        <w:t>判定</w:t>
      </w:r>
      <w:r>
        <w:rPr>
          <w:rFonts w:hint="eastAsia"/>
          <w:sz w:val="24"/>
          <w:szCs w:val="24"/>
        </w:rPr>
        <w:t>，仅</w:t>
      </w:r>
      <w:r>
        <w:rPr>
          <w:sz w:val="24"/>
          <w:szCs w:val="24"/>
        </w:rPr>
        <w:t>将</w:t>
      </w:r>
      <w:r>
        <w:rPr>
          <w:rFonts w:hint="eastAsia"/>
          <w:sz w:val="24"/>
          <w:szCs w:val="24"/>
        </w:rPr>
        <w:t>1种</w:t>
      </w:r>
      <w:r>
        <w:rPr>
          <w:sz w:val="24"/>
          <w:szCs w:val="24"/>
        </w:rPr>
        <w:t>皮肤腐蚀性阴性物质</w:t>
      </w:r>
      <w:r>
        <w:rPr>
          <w:rFonts w:hint="eastAsia"/>
          <w:sz w:val="24"/>
          <w:szCs w:val="24"/>
        </w:rPr>
        <w:t>（异丙醇）</w:t>
      </w:r>
      <w:r>
        <w:rPr>
          <w:sz w:val="24"/>
          <w:szCs w:val="24"/>
        </w:rPr>
        <w:t>判定为</w:t>
      </w:r>
      <w:r>
        <w:rPr>
          <w:rFonts w:hint="eastAsia"/>
          <w:sz w:val="24"/>
          <w:szCs w:val="24"/>
        </w:rPr>
        <w:t>腐蚀性</w:t>
      </w:r>
      <w:r>
        <w:rPr>
          <w:sz w:val="24"/>
          <w:szCs w:val="24"/>
        </w:rPr>
        <w:t>阳性物质。</w:t>
      </w:r>
    </w:p>
    <w:p>
      <w:pPr>
        <w:pStyle w:val="2"/>
        <w:spacing w:line="400" w:lineRule="exact"/>
        <w:rPr>
          <w:rFonts w:ascii="Times New Roman" w:hAnsi="Times New Roman"/>
          <w:sz w:val="28"/>
          <w:szCs w:val="28"/>
        </w:rPr>
      </w:pPr>
      <w:r>
        <w:rPr>
          <w:rFonts w:ascii="Times New Roman" w:hAnsi="Times New Roman"/>
          <w:sz w:val="28"/>
          <w:szCs w:val="28"/>
        </w:rPr>
        <w:t>九、附件</w:t>
      </w:r>
    </w:p>
    <w:p>
      <w:pPr>
        <w:spacing w:line="360" w:lineRule="auto"/>
        <w:ind w:left="120" w:hanging="120" w:hangingChars="50"/>
        <w:rPr>
          <w:sz w:val="24"/>
          <w:szCs w:val="24"/>
        </w:rPr>
      </w:pPr>
      <w:r>
        <w:rPr>
          <w:sz w:val="24"/>
          <w:szCs w:val="24"/>
        </w:rPr>
        <w:t>附件</w:t>
      </w:r>
      <w:r>
        <w:rPr>
          <w:rFonts w:hint="eastAsia"/>
          <w:sz w:val="24"/>
          <w:szCs w:val="24"/>
        </w:rPr>
        <w:t>A</w:t>
      </w:r>
      <w:r>
        <w:rPr>
          <w:sz w:val="24"/>
          <w:szCs w:val="24"/>
        </w:rPr>
        <w:t>：</w:t>
      </w:r>
      <w:r>
        <w:rPr>
          <w:rStyle w:val="31"/>
          <w:sz w:val="24"/>
          <w:szCs w:val="24"/>
        </w:rPr>
        <w:t>受试化妆品原料目录</w:t>
      </w:r>
    </w:p>
    <w:p>
      <w:pPr>
        <w:rPr>
          <w:sz w:val="24"/>
          <w:szCs w:val="24"/>
        </w:rPr>
      </w:pPr>
    </w:p>
    <w:p>
      <w:pPr>
        <w:spacing w:line="300" w:lineRule="auto"/>
        <w:ind w:left="141" w:hanging="141" w:hangingChars="50"/>
        <w:rPr>
          <w:rStyle w:val="31"/>
          <w:rFonts w:eastAsia="黑体"/>
          <w:b/>
          <w:sz w:val="28"/>
          <w:szCs w:val="28"/>
        </w:rPr>
      </w:pPr>
      <w:r>
        <w:rPr>
          <w:rStyle w:val="31"/>
          <w:rFonts w:eastAsia="黑体"/>
          <w:b/>
          <w:sz w:val="28"/>
          <w:szCs w:val="28"/>
        </w:rPr>
        <w:br w:type="page"/>
      </w:r>
    </w:p>
    <w:p>
      <w:pPr>
        <w:spacing w:line="300" w:lineRule="auto"/>
        <w:ind w:left="141" w:hanging="141" w:hangingChars="50"/>
        <w:rPr>
          <w:rStyle w:val="31"/>
          <w:rFonts w:eastAsia="黑体"/>
          <w:b/>
          <w:sz w:val="28"/>
          <w:szCs w:val="28"/>
        </w:rPr>
      </w:pPr>
      <w:r>
        <w:rPr>
          <w:rStyle w:val="31"/>
          <w:rFonts w:eastAsia="黑体"/>
          <w:b/>
          <w:sz w:val="28"/>
          <w:szCs w:val="28"/>
        </w:rPr>
        <w:t>附件</w:t>
      </w:r>
      <w:r>
        <w:rPr>
          <w:rStyle w:val="31"/>
          <w:rFonts w:hint="eastAsia" w:eastAsia="黑体"/>
          <w:b/>
          <w:sz w:val="28"/>
          <w:szCs w:val="28"/>
        </w:rPr>
        <w:t>A</w:t>
      </w:r>
      <w:r>
        <w:rPr>
          <w:rStyle w:val="31"/>
          <w:rFonts w:eastAsia="黑体"/>
          <w:b/>
          <w:sz w:val="28"/>
          <w:szCs w:val="28"/>
        </w:rPr>
        <w:t>：</w:t>
      </w:r>
    </w:p>
    <w:p>
      <w:pPr>
        <w:spacing w:line="360" w:lineRule="auto"/>
        <w:ind w:left="160" w:hanging="160" w:hangingChars="50"/>
        <w:jc w:val="center"/>
        <w:rPr>
          <w:rStyle w:val="31"/>
          <w:rFonts w:eastAsia="黑体"/>
          <w:sz w:val="32"/>
          <w:szCs w:val="32"/>
        </w:rPr>
      </w:pPr>
      <w:r>
        <w:rPr>
          <w:rStyle w:val="31"/>
          <w:rFonts w:eastAsia="黑体"/>
          <w:sz w:val="32"/>
          <w:szCs w:val="32"/>
        </w:rPr>
        <w:t>受试化妆品原料目录</w:t>
      </w:r>
    </w:p>
    <w:p>
      <w:pPr>
        <w:spacing w:line="360" w:lineRule="auto"/>
        <w:ind w:left="120" w:leftChars="57" w:firstLine="480" w:firstLineChars="200"/>
        <w:rPr>
          <w:rStyle w:val="31"/>
          <w:sz w:val="24"/>
        </w:rPr>
      </w:pPr>
      <w:r>
        <w:rPr>
          <w:rStyle w:val="31"/>
          <w:sz w:val="24"/>
        </w:rPr>
        <w:t>参照OECD的数据库（2015），选择18种已知</w:t>
      </w:r>
      <w:r>
        <w:rPr>
          <w:rStyle w:val="31"/>
          <w:rFonts w:hint="eastAsia"/>
          <w:sz w:val="24"/>
        </w:rPr>
        <w:t>皮肤</w:t>
      </w:r>
      <w:r>
        <w:rPr>
          <w:rStyle w:val="31"/>
          <w:sz w:val="24"/>
        </w:rPr>
        <w:t>腐蚀性性的</w:t>
      </w:r>
      <w:r>
        <w:rPr>
          <w:rStyle w:val="31"/>
          <w:sz w:val="24"/>
          <w:szCs w:val="24"/>
        </w:rPr>
        <w:t>化妆品原料</w:t>
      </w:r>
      <w:r>
        <w:rPr>
          <w:rStyle w:val="31"/>
          <w:sz w:val="24"/>
        </w:rPr>
        <w:t>作为受试物，包括：</w:t>
      </w:r>
      <w:r>
        <w:rPr>
          <w:sz w:val="24"/>
        </w:rPr>
        <w:t>9种</w:t>
      </w:r>
      <w:r>
        <w:rPr>
          <w:rFonts w:hint="eastAsia"/>
          <w:sz w:val="24"/>
        </w:rPr>
        <w:t>腐蚀性</w:t>
      </w:r>
      <w:r>
        <w:rPr>
          <w:sz w:val="24"/>
        </w:rPr>
        <w:t>阳性物质和9种</w:t>
      </w:r>
      <w:r>
        <w:rPr>
          <w:rFonts w:hint="eastAsia"/>
          <w:sz w:val="24"/>
        </w:rPr>
        <w:t>腐蚀性</w:t>
      </w:r>
      <w:r>
        <w:rPr>
          <w:sz w:val="24"/>
        </w:rPr>
        <w:t>阴性物质，</w:t>
      </w:r>
      <w:r>
        <w:rPr>
          <w:rStyle w:val="31"/>
          <w:sz w:val="24"/>
        </w:rPr>
        <w:t>其名单见表3。</w:t>
      </w:r>
    </w:p>
    <w:p>
      <w:pPr>
        <w:spacing w:before="156" w:beforeLines="50" w:line="360" w:lineRule="auto"/>
        <w:jc w:val="center"/>
        <w:rPr>
          <w:rFonts w:eastAsia="黑体"/>
          <w:sz w:val="24"/>
        </w:rPr>
      </w:pPr>
      <w:r>
        <w:rPr>
          <w:rFonts w:eastAsia="黑体"/>
          <w:sz w:val="24"/>
        </w:rPr>
        <w:t>表3  本研究选用的18种参照受试</w:t>
      </w:r>
      <w:r>
        <w:rPr>
          <w:rStyle w:val="31"/>
          <w:rFonts w:eastAsia="黑体"/>
          <w:sz w:val="24"/>
          <w:szCs w:val="24"/>
        </w:rPr>
        <w:t>化妆品原料</w:t>
      </w:r>
    </w:p>
    <w:tbl>
      <w:tblPr>
        <w:tblStyle w:val="10"/>
        <w:tblW w:w="8849" w:type="dxa"/>
        <w:jc w:val="center"/>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74"/>
        <w:gridCol w:w="3111"/>
        <w:gridCol w:w="1591"/>
        <w:gridCol w:w="1473"/>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68" w:hRule="atLeast"/>
          <w:jc w:val="center"/>
        </w:trPr>
        <w:tc>
          <w:tcPr>
            <w:tcW w:w="5785" w:type="dxa"/>
            <w:gridSpan w:val="2"/>
            <w:vMerge w:val="restart"/>
            <w:tcBorders>
              <w:top w:val="single" w:color="008000" w:sz="12" w:space="0"/>
              <w:left w:val="nil"/>
              <w:right w:val="nil"/>
            </w:tcBorders>
            <w:vAlign w:val="center"/>
          </w:tcPr>
          <w:p>
            <w:pPr>
              <w:spacing w:line="360" w:lineRule="auto"/>
              <w:jc w:val="center"/>
              <w:rPr>
                <w:sz w:val="24"/>
              </w:rPr>
            </w:pPr>
            <w:r>
              <w:rPr>
                <w:sz w:val="24"/>
              </w:rPr>
              <w:t>受试</w:t>
            </w:r>
            <w:r>
              <w:rPr>
                <w:rStyle w:val="31"/>
                <w:sz w:val="24"/>
                <w:szCs w:val="24"/>
              </w:rPr>
              <w:t>化妆品原料</w:t>
            </w:r>
          </w:p>
        </w:tc>
        <w:tc>
          <w:tcPr>
            <w:tcW w:w="1591" w:type="dxa"/>
            <w:vMerge w:val="restart"/>
            <w:tcBorders>
              <w:top w:val="single" w:color="008000" w:sz="12" w:space="0"/>
              <w:left w:val="nil"/>
              <w:right w:val="nil"/>
            </w:tcBorders>
            <w:vAlign w:val="center"/>
          </w:tcPr>
          <w:p>
            <w:pPr>
              <w:spacing w:line="360" w:lineRule="auto"/>
              <w:jc w:val="center"/>
              <w:rPr>
                <w:sz w:val="24"/>
              </w:rPr>
            </w:pPr>
            <w:r>
              <w:rPr>
                <w:rFonts w:hint="eastAsia"/>
                <w:sz w:val="24"/>
              </w:rPr>
              <w:t>腐蚀性</w:t>
            </w:r>
          </w:p>
        </w:tc>
        <w:tc>
          <w:tcPr>
            <w:tcW w:w="1473" w:type="dxa"/>
            <w:vMerge w:val="restart"/>
            <w:tcBorders>
              <w:top w:val="single" w:color="008000" w:sz="12" w:space="0"/>
              <w:left w:val="nil"/>
              <w:right w:val="nil"/>
            </w:tcBorders>
            <w:vAlign w:val="center"/>
          </w:tcPr>
          <w:p>
            <w:pPr>
              <w:spacing w:line="360" w:lineRule="auto"/>
              <w:jc w:val="center"/>
              <w:rPr>
                <w:sz w:val="24"/>
              </w:rPr>
            </w:pPr>
            <w:r>
              <w:rPr>
                <w:sz w:val="24"/>
              </w:rPr>
              <w:t>来源</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68" w:hRule="atLeast"/>
          <w:jc w:val="center"/>
        </w:trPr>
        <w:tc>
          <w:tcPr>
            <w:tcW w:w="5785" w:type="dxa"/>
            <w:gridSpan w:val="2"/>
            <w:vMerge w:val="continue"/>
            <w:tcBorders>
              <w:left w:val="nil"/>
              <w:bottom w:val="single" w:color="008000" w:sz="12" w:space="0"/>
              <w:right w:val="nil"/>
            </w:tcBorders>
            <w:vAlign w:val="top"/>
          </w:tcPr>
          <w:p>
            <w:pPr>
              <w:spacing w:line="360" w:lineRule="auto"/>
              <w:rPr>
                <w:sz w:val="24"/>
              </w:rPr>
            </w:pPr>
          </w:p>
        </w:tc>
        <w:tc>
          <w:tcPr>
            <w:tcW w:w="1591" w:type="dxa"/>
            <w:vMerge w:val="continue"/>
            <w:tcBorders>
              <w:left w:val="nil"/>
              <w:bottom w:val="single" w:color="008000" w:sz="12" w:space="0"/>
              <w:right w:val="nil"/>
            </w:tcBorders>
            <w:vAlign w:val="center"/>
          </w:tcPr>
          <w:p>
            <w:pPr>
              <w:spacing w:line="360" w:lineRule="auto"/>
              <w:jc w:val="center"/>
              <w:rPr>
                <w:sz w:val="24"/>
              </w:rPr>
            </w:pPr>
          </w:p>
        </w:tc>
        <w:tc>
          <w:tcPr>
            <w:tcW w:w="1473" w:type="dxa"/>
            <w:vMerge w:val="continue"/>
            <w:tcBorders>
              <w:left w:val="nil"/>
              <w:bottom w:val="single" w:color="008000" w:sz="12" w:space="0"/>
              <w:right w:val="nil"/>
            </w:tcBorders>
            <w:vAlign w:val="center"/>
          </w:tcPr>
          <w:p>
            <w:pPr>
              <w:spacing w:line="360" w:lineRule="auto"/>
              <w:jc w:val="center"/>
              <w:rPr>
                <w:sz w:val="24"/>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7" w:hRule="exact"/>
          <w:jc w:val="center"/>
        </w:trPr>
        <w:tc>
          <w:tcPr>
            <w:tcW w:w="2674" w:type="dxa"/>
            <w:tcBorders>
              <w:top w:val="single" w:color="008000" w:sz="12" w:space="0"/>
              <w:left w:val="nil"/>
              <w:bottom w:val="nil"/>
              <w:right w:val="nil"/>
            </w:tcBorders>
            <w:vAlign w:val="center"/>
          </w:tcPr>
          <w:p>
            <w:pPr>
              <w:widowControl/>
              <w:jc w:val="center"/>
              <w:textAlignment w:val="center"/>
              <w:rPr>
                <w:kern w:val="0"/>
                <w:sz w:val="20"/>
              </w:rPr>
            </w:pPr>
            <w:r>
              <w:rPr>
                <w:rFonts w:hint="eastAsia"/>
                <w:kern w:val="0"/>
                <w:sz w:val="20"/>
              </w:rPr>
              <w:t>去离子水</w:t>
            </w:r>
          </w:p>
        </w:tc>
        <w:tc>
          <w:tcPr>
            <w:tcW w:w="3111" w:type="dxa"/>
            <w:tcBorders>
              <w:top w:val="single" w:color="008000" w:sz="12" w:space="0"/>
              <w:left w:val="nil"/>
              <w:bottom w:val="nil"/>
              <w:right w:val="nil"/>
            </w:tcBorders>
            <w:vAlign w:val="center"/>
          </w:tcPr>
          <w:p>
            <w:pPr>
              <w:widowControl/>
              <w:jc w:val="center"/>
              <w:textAlignment w:val="center"/>
              <w:rPr>
                <w:kern w:val="0"/>
                <w:sz w:val="20"/>
              </w:rPr>
            </w:pPr>
            <w:r>
              <w:rPr>
                <w:kern w:val="0"/>
                <w:sz w:val="20"/>
              </w:rPr>
              <w:t>Deionized water</w:t>
            </w:r>
          </w:p>
        </w:tc>
        <w:tc>
          <w:tcPr>
            <w:tcW w:w="1591" w:type="dxa"/>
            <w:tcBorders>
              <w:top w:val="single" w:color="008000" w:sz="12" w:space="0"/>
              <w:left w:val="nil"/>
              <w:bottom w:val="nil"/>
              <w:right w:val="nil"/>
            </w:tcBorders>
            <w:vAlign w:val="center"/>
          </w:tcPr>
          <w:p>
            <w:pPr>
              <w:widowControl/>
              <w:jc w:val="center"/>
              <w:textAlignment w:val="center"/>
              <w:rPr>
                <w:kern w:val="0"/>
                <w:sz w:val="20"/>
              </w:rPr>
            </w:pPr>
            <w:r>
              <w:rPr>
                <w:rFonts w:hint="eastAsia"/>
                <w:kern w:val="0"/>
                <w:sz w:val="20"/>
              </w:rPr>
              <w:t>无腐蚀性</w:t>
            </w:r>
          </w:p>
        </w:tc>
        <w:tc>
          <w:tcPr>
            <w:tcW w:w="1473" w:type="dxa"/>
            <w:tcBorders>
              <w:top w:val="single" w:color="008000" w:sz="12" w:space="0"/>
              <w:left w:val="nil"/>
              <w:bottom w:val="nil"/>
              <w:right w:val="nil"/>
            </w:tcBorders>
            <w:vAlign w:val="center"/>
          </w:tcPr>
          <w:p>
            <w:pPr>
              <w:spacing w:line="360" w:lineRule="auto"/>
              <w:jc w:val="center"/>
              <w:textAlignment w:val="center"/>
              <w:rPr>
                <w:kern w:val="0"/>
                <w:sz w:val="20"/>
              </w:rPr>
            </w:pPr>
            <w:r>
              <w:rPr>
                <w:rFonts w:hint="eastAsia"/>
                <w:kern w:val="0"/>
                <w:sz w:val="20"/>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33" w:hRule="exact"/>
          <w:jc w:val="center"/>
        </w:trPr>
        <w:tc>
          <w:tcPr>
            <w:tcW w:w="2674" w:type="dxa"/>
            <w:tcBorders>
              <w:top w:val="nil"/>
              <w:left w:val="nil"/>
              <w:bottom w:val="nil"/>
              <w:right w:val="nil"/>
            </w:tcBorders>
            <w:vAlign w:val="center"/>
          </w:tcPr>
          <w:p>
            <w:pPr>
              <w:widowControl/>
              <w:jc w:val="center"/>
              <w:textAlignment w:val="center"/>
              <w:rPr>
                <w:rFonts w:hint="eastAsia"/>
                <w:kern w:val="0"/>
                <w:sz w:val="20"/>
              </w:rPr>
            </w:pPr>
            <w:r>
              <w:rPr>
                <w:kern w:val="0"/>
                <w:sz w:val="20"/>
              </w:rPr>
              <w:t>4-</w:t>
            </w:r>
            <w:r>
              <w:rPr>
                <w:rFonts w:hint="eastAsia"/>
                <w:kern w:val="0"/>
                <w:sz w:val="20"/>
              </w:rPr>
              <w:t>氨基</w:t>
            </w:r>
            <w:r>
              <w:rPr>
                <w:kern w:val="0"/>
                <w:sz w:val="20"/>
              </w:rPr>
              <w:t>-1,2,4-</w:t>
            </w:r>
            <w:r>
              <w:rPr>
                <w:rFonts w:hint="eastAsia"/>
                <w:kern w:val="0"/>
                <w:sz w:val="20"/>
              </w:rPr>
              <w:t>三氮唑</w:t>
            </w:r>
          </w:p>
        </w:tc>
        <w:tc>
          <w:tcPr>
            <w:tcW w:w="3111" w:type="dxa"/>
            <w:tcBorders>
              <w:top w:val="nil"/>
              <w:left w:val="nil"/>
              <w:bottom w:val="nil"/>
              <w:right w:val="nil"/>
            </w:tcBorders>
            <w:vAlign w:val="center"/>
          </w:tcPr>
          <w:p>
            <w:pPr>
              <w:widowControl/>
              <w:jc w:val="center"/>
              <w:textAlignment w:val="center"/>
              <w:rPr>
                <w:kern w:val="0"/>
                <w:sz w:val="20"/>
              </w:rPr>
            </w:pPr>
            <w:r>
              <w:rPr>
                <w:kern w:val="0"/>
                <w:sz w:val="20"/>
              </w:rPr>
              <w:t>4-Amino-1,2,4-triazole</w:t>
            </w:r>
          </w:p>
        </w:tc>
        <w:tc>
          <w:tcPr>
            <w:tcW w:w="1591"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无腐蚀性</w:t>
            </w:r>
          </w:p>
        </w:tc>
        <w:tc>
          <w:tcPr>
            <w:tcW w:w="1473" w:type="dxa"/>
            <w:tcBorders>
              <w:top w:val="nil"/>
              <w:left w:val="nil"/>
              <w:bottom w:val="nil"/>
              <w:right w:val="nil"/>
            </w:tcBorders>
            <w:vAlign w:val="center"/>
          </w:tcPr>
          <w:p>
            <w:pPr>
              <w:jc w:val="center"/>
              <w:rPr>
                <w:color w:val="000000"/>
                <w:kern w:val="24"/>
                <w:sz w:val="20"/>
              </w:rPr>
            </w:pPr>
            <w:r>
              <w:rPr>
                <w:color w:val="000000"/>
                <w:kern w:val="24"/>
                <w:sz w:val="20"/>
              </w:rPr>
              <w:t>TCI, Tokyo, Japen</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2674" w:type="dxa"/>
            <w:tcBorders>
              <w:top w:val="nil"/>
              <w:left w:val="nil"/>
              <w:bottom w:val="nil"/>
              <w:right w:val="nil"/>
            </w:tcBorders>
            <w:vAlign w:val="center"/>
          </w:tcPr>
          <w:p>
            <w:pPr>
              <w:widowControl/>
              <w:jc w:val="center"/>
              <w:textAlignment w:val="center"/>
              <w:rPr>
                <w:kern w:val="0"/>
                <w:sz w:val="20"/>
              </w:rPr>
            </w:pPr>
            <w:r>
              <w:rPr>
                <w:rFonts w:hint="eastAsia"/>
                <w:kern w:val="0"/>
                <w:sz w:val="20"/>
              </w:rPr>
              <w:t>丁子香酚</w:t>
            </w:r>
          </w:p>
        </w:tc>
        <w:tc>
          <w:tcPr>
            <w:tcW w:w="3111" w:type="dxa"/>
            <w:tcBorders>
              <w:top w:val="nil"/>
              <w:left w:val="nil"/>
              <w:bottom w:val="nil"/>
              <w:right w:val="nil"/>
            </w:tcBorders>
            <w:vAlign w:val="center"/>
          </w:tcPr>
          <w:p>
            <w:pPr>
              <w:widowControl/>
              <w:jc w:val="center"/>
              <w:textAlignment w:val="center"/>
              <w:rPr>
                <w:kern w:val="0"/>
                <w:sz w:val="20"/>
              </w:rPr>
            </w:pPr>
            <w:r>
              <w:rPr>
                <w:kern w:val="0"/>
                <w:sz w:val="20"/>
              </w:rPr>
              <w:t>Eugenol</w:t>
            </w:r>
          </w:p>
        </w:tc>
        <w:tc>
          <w:tcPr>
            <w:tcW w:w="1591"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无腐蚀性</w:t>
            </w:r>
          </w:p>
        </w:tc>
        <w:tc>
          <w:tcPr>
            <w:tcW w:w="1473" w:type="dxa"/>
            <w:tcBorders>
              <w:top w:val="nil"/>
              <w:left w:val="nil"/>
              <w:bottom w:val="nil"/>
              <w:right w:val="nil"/>
            </w:tcBorders>
            <w:vAlign w:val="center"/>
          </w:tcPr>
          <w:p>
            <w:pPr>
              <w:jc w:val="center"/>
              <w:rPr>
                <w:rFonts w:hint="eastAsia"/>
                <w:color w:val="000000"/>
                <w:kern w:val="24"/>
                <w:sz w:val="20"/>
              </w:rPr>
            </w:pPr>
            <w:r>
              <w:rPr>
                <w:rFonts w:hint="eastAsia"/>
                <w:color w:val="000000"/>
                <w:kern w:val="24"/>
                <w:sz w:val="20"/>
              </w:rPr>
              <w:t>国药集团</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exact"/>
          <w:jc w:val="center"/>
        </w:trPr>
        <w:tc>
          <w:tcPr>
            <w:tcW w:w="2674"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溴乙基苯</w:t>
            </w:r>
          </w:p>
        </w:tc>
        <w:tc>
          <w:tcPr>
            <w:tcW w:w="3111" w:type="dxa"/>
            <w:tcBorders>
              <w:top w:val="nil"/>
              <w:left w:val="nil"/>
              <w:bottom w:val="nil"/>
              <w:right w:val="nil"/>
            </w:tcBorders>
            <w:vAlign w:val="center"/>
          </w:tcPr>
          <w:p>
            <w:pPr>
              <w:widowControl/>
              <w:jc w:val="center"/>
              <w:textAlignment w:val="center"/>
              <w:rPr>
                <w:kern w:val="0"/>
                <w:sz w:val="20"/>
              </w:rPr>
            </w:pPr>
            <w:r>
              <w:rPr>
                <w:kern w:val="0"/>
                <w:sz w:val="20"/>
              </w:rPr>
              <w:t>Phenethyl bromide</w:t>
            </w:r>
          </w:p>
        </w:tc>
        <w:tc>
          <w:tcPr>
            <w:tcW w:w="1591"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无腐蚀性</w:t>
            </w:r>
          </w:p>
        </w:tc>
        <w:tc>
          <w:tcPr>
            <w:tcW w:w="1473" w:type="dxa"/>
            <w:tcBorders>
              <w:top w:val="nil"/>
              <w:left w:val="nil"/>
              <w:bottom w:val="nil"/>
              <w:right w:val="nil"/>
            </w:tcBorders>
            <w:vAlign w:val="center"/>
          </w:tcPr>
          <w:p>
            <w:pPr>
              <w:jc w:val="center"/>
              <w:rPr>
                <w:color w:val="000000"/>
                <w:kern w:val="24"/>
                <w:sz w:val="20"/>
              </w:rPr>
            </w:pPr>
            <w:r>
              <w:rPr>
                <w:color w:val="000000"/>
                <w:kern w:val="24"/>
                <w:sz w:val="20"/>
              </w:rPr>
              <w:t>Alorich, USA</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41" w:hRule="exact"/>
          <w:jc w:val="center"/>
        </w:trPr>
        <w:tc>
          <w:tcPr>
            <w:tcW w:w="2674"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四氯乙烯</w:t>
            </w:r>
          </w:p>
        </w:tc>
        <w:tc>
          <w:tcPr>
            <w:tcW w:w="3111" w:type="dxa"/>
            <w:tcBorders>
              <w:top w:val="nil"/>
              <w:left w:val="nil"/>
              <w:bottom w:val="nil"/>
              <w:right w:val="nil"/>
            </w:tcBorders>
            <w:vAlign w:val="center"/>
          </w:tcPr>
          <w:p>
            <w:pPr>
              <w:widowControl/>
              <w:jc w:val="center"/>
              <w:textAlignment w:val="center"/>
              <w:rPr>
                <w:kern w:val="0"/>
                <w:sz w:val="20"/>
              </w:rPr>
            </w:pPr>
            <w:r>
              <w:rPr>
                <w:kern w:val="0"/>
                <w:sz w:val="20"/>
              </w:rPr>
              <w:t>Tetrachloroethylene</w:t>
            </w:r>
          </w:p>
        </w:tc>
        <w:tc>
          <w:tcPr>
            <w:tcW w:w="1591"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无腐蚀性</w:t>
            </w:r>
          </w:p>
        </w:tc>
        <w:tc>
          <w:tcPr>
            <w:tcW w:w="1473" w:type="dxa"/>
            <w:tcBorders>
              <w:top w:val="nil"/>
              <w:left w:val="nil"/>
              <w:bottom w:val="nil"/>
              <w:right w:val="nil"/>
            </w:tcBorders>
            <w:vAlign w:val="center"/>
          </w:tcPr>
          <w:p>
            <w:pPr>
              <w:jc w:val="center"/>
              <w:rPr>
                <w:color w:val="000000"/>
                <w:kern w:val="24"/>
                <w:sz w:val="20"/>
              </w:rPr>
            </w:pPr>
            <w:r>
              <w:rPr>
                <w:rFonts w:hint="eastAsia"/>
                <w:color w:val="000000"/>
                <w:kern w:val="24"/>
                <w:sz w:val="20"/>
              </w:rPr>
              <w:t>国药集团</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1" w:hRule="exact"/>
          <w:jc w:val="center"/>
        </w:trPr>
        <w:tc>
          <w:tcPr>
            <w:tcW w:w="2674"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异硬脂酸</w:t>
            </w:r>
          </w:p>
        </w:tc>
        <w:tc>
          <w:tcPr>
            <w:tcW w:w="3111" w:type="dxa"/>
            <w:tcBorders>
              <w:top w:val="nil"/>
              <w:left w:val="nil"/>
              <w:bottom w:val="nil"/>
              <w:right w:val="nil"/>
            </w:tcBorders>
            <w:vAlign w:val="center"/>
          </w:tcPr>
          <w:p>
            <w:pPr>
              <w:widowControl/>
              <w:jc w:val="center"/>
              <w:textAlignment w:val="center"/>
              <w:rPr>
                <w:kern w:val="0"/>
                <w:sz w:val="20"/>
              </w:rPr>
            </w:pPr>
            <w:r>
              <w:rPr>
                <w:kern w:val="0"/>
                <w:sz w:val="20"/>
              </w:rPr>
              <w:t>Isostearic acid</w:t>
            </w:r>
          </w:p>
        </w:tc>
        <w:tc>
          <w:tcPr>
            <w:tcW w:w="1591"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无腐蚀性</w:t>
            </w:r>
          </w:p>
        </w:tc>
        <w:tc>
          <w:tcPr>
            <w:tcW w:w="1473" w:type="dxa"/>
            <w:tcBorders>
              <w:top w:val="nil"/>
              <w:left w:val="nil"/>
              <w:bottom w:val="nil"/>
              <w:right w:val="nil"/>
            </w:tcBorders>
            <w:vAlign w:val="center"/>
          </w:tcPr>
          <w:p>
            <w:pPr>
              <w:jc w:val="center"/>
              <w:rPr>
                <w:color w:val="000000"/>
                <w:kern w:val="24"/>
                <w:sz w:val="20"/>
              </w:rPr>
            </w:pPr>
            <w:r>
              <w:rPr>
                <w:color w:val="000000"/>
                <w:kern w:val="24"/>
                <w:sz w:val="20"/>
              </w:rPr>
              <w:t>Adamas, Belgium</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2674" w:type="dxa"/>
            <w:tcBorders>
              <w:top w:val="nil"/>
              <w:left w:val="nil"/>
              <w:bottom w:val="nil"/>
              <w:right w:val="nil"/>
            </w:tcBorders>
            <w:vAlign w:val="center"/>
          </w:tcPr>
          <w:p>
            <w:pPr>
              <w:widowControl/>
              <w:jc w:val="center"/>
              <w:textAlignment w:val="center"/>
              <w:rPr>
                <w:rFonts w:hint="eastAsia"/>
                <w:kern w:val="0"/>
                <w:sz w:val="20"/>
              </w:rPr>
            </w:pPr>
            <w:r>
              <w:rPr>
                <w:kern w:val="0"/>
                <w:sz w:val="20"/>
              </w:rPr>
              <w:t>4-</w:t>
            </w:r>
            <w:r>
              <w:rPr>
                <w:rFonts w:hint="eastAsia"/>
                <w:kern w:val="0"/>
                <w:sz w:val="20"/>
              </w:rPr>
              <w:t>甲硫基</w:t>
            </w:r>
            <w:r>
              <w:rPr>
                <w:kern w:val="0"/>
                <w:sz w:val="20"/>
              </w:rPr>
              <w:t>-</w:t>
            </w:r>
            <w:r>
              <w:rPr>
                <w:rFonts w:hint="eastAsia"/>
                <w:kern w:val="0"/>
                <w:sz w:val="20"/>
              </w:rPr>
              <w:t>苯甲醛</w:t>
            </w:r>
          </w:p>
        </w:tc>
        <w:tc>
          <w:tcPr>
            <w:tcW w:w="3111" w:type="dxa"/>
            <w:tcBorders>
              <w:top w:val="nil"/>
              <w:left w:val="nil"/>
              <w:bottom w:val="nil"/>
              <w:right w:val="nil"/>
            </w:tcBorders>
            <w:vAlign w:val="center"/>
          </w:tcPr>
          <w:p>
            <w:pPr>
              <w:widowControl/>
              <w:jc w:val="center"/>
              <w:textAlignment w:val="center"/>
              <w:rPr>
                <w:kern w:val="0"/>
                <w:sz w:val="20"/>
              </w:rPr>
            </w:pPr>
            <w:r>
              <w:rPr>
                <w:kern w:val="0"/>
                <w:sz w:val="20"/>
              </w:rPr>
              <w:t>4-(Methylthio)-benzaldehyde</w:t>
            </w:r>
          </w:p>
        </w:tc>
        <w:tc>
          <w:tcPr>
            <w:tcW w:w="1591"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无腐蚀性</w:t>
            </w:r>
          </w:p>
        </w:tc>
        <w:tc>
          <w:tcPr>
            <w:tcW w:w="1473" w:type="dxa"/>
            <w:tcBorders>
              <w:top w:val="nil"/>
              <w:left w:val="nil"/>
              <w:bottom w:val="nil"/>
              <w:right w:val="nil"/>
            </w:tcBorders>
            <w:vAlign w:val="center"/>
          </w:tcPr>
          <w:p>
            <w:pPr>
              <w:jc w:val="center"/>
              <w:rPr>
                <w:color w:val="000000"/>
                <w:kern w:val="24"/>
                <w:sz w:val="20"/>
              </w:rPr>
            </w:pPr>
            <w:r>
              <w:rPr>
                <w:color w:val="000000"/>
                <w:kern w:val="24"/>
                <w:sz w:val="20"/>
              </w:rPr>
              <w:t>TCI, Tokyo, Japen</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2674" w:type="dxa"/>
            <w:tcBorders>
              <w:top w:val="nil"/>
              <w:left w:val="nil"/>
              <w:bottom w:val="nil"/>
              <w:right w:val="nil"/>
            </w:tcBorders>
            <w:vAlign w:val="center"/>
          </w:tcPr>
          <w:p>
            <w:pPr>
              <w:widowControl/>
              <w:jc w:val="center"/>
              <w:textAlignment w:val="center"/>
              <w:rPr>
                <w:kern w:val="0"/>
                <w:sz w:val="20"/>
              </w:rPr>
            </w:pPr>
            <w:r>
              <w:rPr>
                <w:rFonts w:hint="eastAsia"/>
                <w:kern w:val="0"/>
                <w:sz w:val="20"/>
              </w:rPr>
              <w:t>异丙醇</w:t>
            </w:r>
          </w:p>
        </w:tc>
        <w:tc>
          <w:tcPr>
            <w:tcW w:w="3111" w:type="dxa"/>
            <w:tcBorders>
              <w:top w:val="nil"/>
              <w:left w:val="nil"/>
              <w:bottom w:val="nil"/>
              <w:right w:val="nil"/>
            </w:tcBorders>
            <w:vAlign w:val="center"/>
          </w:tcPr>
          <w:p>
            <w:pPr>
              <w:widowControl/>
              <w:jc w:val="center"/>
              <w:textAlignment w:val="center"/>
              <w:rPr>
                <w:kern w:val="0"/>
                <w:sz w:val="20"/>
              </w:rPr>
            </w:pPr>
            <w:r>
              <w:rPr>
                <w:kern w:val="0"/>
                <w:sz w:val="20"/>
              </w:rPr>
              <w:t>Isopropyl alcohol</w:t>
            </w:r>
          </w:p>
        </w:tc>
        <w:tc>
          <w:tcPr>
            <w:tcW w:w="1591"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无腐蚀性</w:t>
            </w:r>
          </w:p>
        </w:tc>
        <w:tc>
          <w:tcPr>
            <w:tcW w:w="1473" w:type="dxa"/>
            <w:tcBorders>
              <w:top w:val="nil"/>
              <w:left w:val="nil"/>
              <w:bottom w:val="nil"/>
              <w:right w:val="nil"/>
            </w:tcBorders>
            <w:vAlign w:val="center"/>
          </w:tcPr>
          <w:p>
            <w:pPr>
              <w:jc w:val="center"/>
              <w:rPr>
                <w:sz w:val="20"/>
              </w:rPr>
            </w:pPr>
            <w:r>
              <w:rPr>
                <w:rFonts w:hint="eastAsia"/>
                <w:color w:val="000000"/>
                <w:kern w:val="24"/>
                <w:sz w:val="20"/>
              </w:rPr>
              <w:t>国药集团</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2674"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月桂酸</w:t>
            </w:r>
          </w:p>
        </w:tc>
        <w:tc>
          <w:tcPr>
            <w:tcW w:w="3111" w:type="dxa"/>
            <w:tcBorders>
              <w:top w:val="nil"/>
              <w:left w:val="nil"/>
              <w:bottom w:val="nil"/>
              <w:right w:val="nil"/>
            </w:tcBorders>
            <w:vAlign w:val="center"/>
          </w:tcPr>
          <w:p>
            <w:pPr>
              <w:widowControl/>
              <w:jc w:val="center"/>
              <w:textAlignment w:val="center"/>
              <w:rPr>
                <w:kern w:val="0"/>
                <w:sz w:val="20"/>
              </w:rPr>
            </w:pPr>
            <w:r>
              <w:rPr>
                <w:kern w:val="0"/>
                <w:sz w:val="20"/>
              </w:rPr>
              <w:t>Lauric acid</w:t>
            </w:r>
          </w:p>
        </w:tc>
        <w:tc>
          <w:tcPr>
            <w:tcW w:w="1591"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无腐蚀性</w:t>
            </w:r>
          </w:p>
        </w:tc>
        <w:tc>
          <w:tcPr>
            <w:tcW w:w="1473" w:type="dxa"/>
            <w:tcBorders>
              <w:top w:val="nil"/>
              <w:left w:val="nil"/>
              <w:bottom w:val="nil"/>
              <w:right w:val="nil"/>
            </w:tcBorders>
            <w:vAlign w:val="center"/>
          </w:tcPr>
          <w:p>
            <w:pPr>
              <w:jc w:val="center"/>
              <w:rPr>
                <w:sz w:val="20"/>
              </w:rPr>
            </w:pPr>
            <w:r>
              <w:rPr>
                <w:rFonts w:hint="eastAsia"/>
                <w:color w:val="000000"/>
                <w:kern w:val="24"/>
                <w:sz w:val="20"/>
              </w:rPr>
              <w:t>国药集团</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2674"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十二烷基硫酸钠（SDS,20%）</w:t>
            </w:r>
          </w:p>
        </w:tc>
        <w:tc>
          <w:tcPr>
            <w:tcW w:w="3111" w:type="dxa"/>
            <w:tcBorders>
              <w:top w:val="nil"/>
              <w:left w:val="nil"/>
              <w:bottom w:val="nil"/>
              <w:right w:val="nil"/>
            </w:tcBorders>
            <w:vAlign w:val="center"/>
          </w:tcPr>
          <w:p>
            <w:pPr>
              <w:widowControl/>
              <w:jc w:val="center"/>
              <w:textAlignment w:val="center"/>
              <w:rPr>
                <w:kern w:val="0"/>
                <w:sz w:val="20"/>
              </w:rPr>
            </w:pPr>
            <w:r>
              <w:rPr>
                <w:kern w:val="0"/>
                <w:sz w:val="20"/>
              </w:rPr>
              <w:t>Sodium dodecylbenzenesulfonate (20%)</w:t>
            </w:r>
          </w:p>
        </w:tc>
        <w:tc>
          <w:tcPr>
            <w:tcW w:w="1591"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腐蚀性</w:t>
            </w:r>
          </w:p>
        </w:tc>
        <w:tc>
          <w:tcPr>
            <w:tcW w:w="1473" w:type="dxa"/>
            <w:tcBorders>
              <w:top w:val="nil"/>
              <w:left w:val="nil"/>
              <w:bottom w:val="nil"/>
              <w:right w:val="nil"/>
            </w:tcBorders>
            <w:vAlign w:val="center"/>
          </w:tcPr>
          <w:p>
            <w:pPr>
              <w:jc w:val="center"/>
              <w:rPr>
                <w:sz w:val="20"/>
              </w:rPr>
            </w:pPr>
            <w:r>
              <w:rPr>
                <w:rFonts w:hint="eastAsia"/>
                <w:color w:val="000000"/>
                <w:kern w:val="24"/>
                <w:sz w:val="20"/>
              </w:rPr>
              <w:t>国药集团</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7" w:hRule="exact"/>
          <w:jc w:val="center"/>
        </w:trPr>
        <w:tc>
          <w:tcPr>
            <w:tcW w:w="2674"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HCL（10mol/L、</w:t>
            </w:r>
            <w:r>
              <w:rPr>
                <w:kern w:val="0"/>
                <w:sz w:val="20"/>
              </w:rPr>
              <w:t>8</w:t>
            </w:r>
            <w:r>
              <w:rPr>
                <w:rFonts w:hint="eastAsia"/>
                <w:kern w:val="0"/>
                <w:sz w:val="20"/>
              </w:rPr>
              <w:t xml:space="preserve"> mol/L）</w:t>
            </w:r>
          </w:p>
        </w:tc>
        <w:tc>
          <w:tcPr>
            <w:tcW w:w="3111" w:type="dxa"/>
            <w:tcBorders>
              <w:top w:val="nil"/>
              <w:left w:val="nil"/>
              <w:bottom w:val="nil"/>
              <w:right w:val="nil"/>
            </w:tcBorders>
            <w:vAlign w:val="center"/>
          </w:tcPr>
          <w:p>
            <w:pPr>
              <w:widowControl/>
              <w:jc w:val="center"/>
              <w:textAlignment w:val="center"/>
              <w:rPr>
                <w:kern w:val="0"/>
                <w:sz w:val="20"/>
              </w:rPr>
            </w:pPr>
            <w:bookmarkStart w:id="3" w:name="OLE_LINK4"/>
            <w:r>
              <w:rPr>
                <w:kern w:val="0"/>
                <w:sz w:val="20"/>
              </w:rPr>
              <w:t>Hydrochloric acid</w:t>
            </w:r>
            <w:bookmarkEnd w:id="3"/>
            <w:r>
              <w:rPr>
                <w:kern w:val="0"/>
                <w:sz w:val="20"/>
              </w:rPr>
              <w:t xml:space="preserve"> （10mol/L、8mol/L）</w:t>
            </w:r>
          </w:p>
        </w:tc>
        <w:tc>
          <w:tcPr>
            <w:tcW w:w="1591"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腐蚀性</w:t>
            </w:r>
          </w:p>
        </w:tc>
        <w:tc>
          <w:tcPr>
            <w:tcW w:w="1473" w:type="dxa"/>
            <w:tcBorders>
              <w:top w:val="nil"/>
              <w:left w:val="nil"/>
              <w:bottom w:val="nil"/>
              <w:right w:val="nil"/>
            </w:tcBorders>
            <w:vAlign w:val="center"/>
          </w:tcPr>
          <w:p>
            <w:pPr>
              <w:jc w:val="center"/>
              <w:rPr>
                <w:sz w:val="20"/>
              </w:rPr>
            </w:pPr>
            <w:r>
              <w:rPr>
                <w:rFonts w:hint="eastAsia"/>
                <w:color w:val="000000"/>
                <w:kern w:val="24"/>
                <w:sz w:val="20"/>
              </w:rPr>
              <w:t>国药集团</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exact"/>
          <w:jc w:val="center"/>
        </w:trPr>
        <w:tc>
          <w:tcPr>
            <w:tcW w:w="2674"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N,N-二甲基亚二丙基三胺</w:t>
            </w:r>
          </w:p>
        </w:tc>
        <w:tc>
          <w:tcPr>
            <w:tcW w:w="3111" w:type="dxa"/>
            <w:tcBorders>
              <w:top w:val="nil"/>
              <w:left w:val="nil"/>
              <w:bottom w:val="nil"/>
              <w:right w:val="nil"/>
            </w:tcBorders>
            <w:vAlign w:val="center"/>
          </w:tcPr>
          <w:p>
            <w:pPr>
              <w:widowControl/>
              <w:jc w:val="center"/>
              <w:textAlignment w:val="center"/>
              <w:rPr>
                <w:kern w:val="0"/>
                <w:sz w:val="20"/>
              </w:rPr>
            </w:pPr>
            <w:r>
              <w:rPr>
                <w:kern w:val="0"/>
                <w:sz w:val="20"/>
              </w:rPr>
              <w:t>N,N-Dimethyldipropylenetriamine</w:t>
            </w:r>
          </w:p>
        </w:tc>
        <w:tc>
          <w:tcPr>
            <w:tcW w:w="1591"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腐蚀性</w:t>
            </w:r>
          </w:p>
        </w:tc>
        <w:tc>
          <w:tcPr>
            <w:tcW w:w="1473" w:type="dxa"/>
            <w:tcBorders>
              <w:top w:val="nil"/>
              <w:left w:val="nil"/>
              <w:bottom w:val="nil"/>
              <w:right w:val="nil"/>
            </w:tcBorders>
            <w:vAlign w:val="center"/>
          </w:tcPr>
          <w:p>
            <w:pPr>
              <w:jc w:val="center"/>
              <w:rPr>
                <w:color w:val="000000"/>
                <w:kern w:val="24"/>
                <w:sz w:val="20"/>
              </w:rPr>
            </w:pPr>
            <w:r>
              <w:rPr>
                <w:color w:val="000000"/>
                <w:kern w:val="24"/>
                <w:sz w:val="20"/>
              </w:rPr>
              <w:t>Adamas, Belgium</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2674"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邻叔丁基苯酚</w:t>
            </w:r>
          </w:p>
        </w:tc>
        <w:tc>
          <w:tcPr>
            <w:tcW w:w="3111" w:type="dxa"/>
            <w:tcBorders>
              <w:top w:val="nil"/>
              <w:left w:val="nil"/>
              <w:bottom w:val="nil"/>
              <w:right w:val="nil"/>
            </w:tcBorders>
            <w:vAlign w:val="center"/>
          </w:tcPr>
          <w:p>
            <w:pPr>
              <w:widowControl/>
              <w:jc w:val="center"/>
              <w:textAlignment w:val="center"/>
              <w:rPr>
                <w:kern w:val="0"/>
                <w:sz w:val="20"/>
              </w:rPr>
            </w:pPr>
            <w:r>
              <w:rPr>
                <w:kern w:val="0"/>
                <w:sz w:val="20"/>
              </w:rPr>
              <w:t>2-tert-Butylphenol</w:t>
            </w:r>
          </w:p>
        </w:tc>
        <w:tc>
          <w:tcPr>
            <w:tcW w:w="1591"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腐蚀性</w:t>
            </w:r>
          </w:p>
        </w:tc>
        <w:tc>
          <w:tcPr>
            <w:tcW w:w="1473" w:type="dxa"/>
            <w:tcBorders>
              <w:top w:val="nil"/>
              <w:left w:val="nil"/>
              <w:bottom w:val="nil"/>
              <w:right w:val="nil"/>
            </w:tcBorders>
            <w:vAlign w:val="center"/>
          </w:tcPr>
          <w:p>
            <w:pPr>
              <w:jc w:val="center"/>
              <w:rPr>
                <w:color w:val="000000"/>
                <w:kern w:val="24"/>
                <w:sz w:val="20"/>
              </w:rPr>
            </w:pPr>
            <w:r>
              <w:rPr>
                <w:color w:val="000000"/>
                <w:kern w:val="24"/>
                <w:sz w:val="20"/>
              </w:rPr>
              <w:t>TCI, Tokyo, Japen</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2674"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氢氧化钾（</w:t>
            </w:r>
            <w:r>
              <w:rPr>
                <w:kern w:val="0"/>
                <w:sz w:val="20"/>
              </w:rPr>
              <w:t>10%</w:t>
            </w:r>
            <w:r>
              <w:rPr>
                <w:rFonts w:hint="eastAsia"/>
                <w:kern w:val="0"/>
                <w:sz w:val="20"/>
              </w:rPr>
              <w:t>）</w:t>
            </w:r>
          </w:p>
        </w:tc>
        <w:tc>
          <w:tcPr>
            <w:tcW w:w="3111" w:type="dxa"/>
            <w:tcBorders>
              <w:top w:val="nil"/>
              <w:left w:val="nil"/>
              <w:bottom w:val="nil"/>
              <w:right w:val="nil"/>
            </w:tcBorders>
            <w:vAlign w:val="center"/>
          </w:tcPr>
          <w:p>
            <w:pPr>
              <w:widowControl/>
              <w:jc w:val="center"/>
              <w:textAlignment w:val="center"/>
              <w:rPr>
                <w:kern w:val="0"/>
                <w:sz w:val="20"/>
              </w:rPr>
            </w:pPr>
            <w:r>
              <w:rPr>
                <w:kern w:val="0"/>
                <w:sz w:val="20"/>
              </w:rPr>
              <w:t>Potassium hydroxide (10%)</w:t>
            </w:r>
          </w:p>
        </w:tc>
        <w:tc>
          <w:tcPr>
            <w:tcW w:w="1591"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腐蚀性</w:t>
            </w:r>
          </w:p>
        </w:tc>
        <w:tc>
          <w:tcPr>
            <w:tcW w:w="1473" w:type="dxa"/>
            <w:tcBorders>
              <w:top w:val="nil"/>
              <w:left w:val="nil"/>
              <w:bottom w:val="nil"/>
              <w:right w:val="nil"/>
            </w:tcBorders>
            <w:vAlign w:val="center"/>
          </w:tcPr>
          <w:p>
            <w:pPr>
              <w:jc w:val="center"/>
              <w:rPr>
                <w:sz w:val="20"/>
              </w:rPr>
            </w:pPr>
            <w:r>
              <w:rPr>
                <w:rFonts w:hint="eastAsia"/>
                <w:color w:val="000000"/>
                <w:kern w:val="24"/>
                <w:sz w:val="20"/>
              </w:rPr>
              <w:t>国药集团</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2674"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硫酸（</w:t>
            </w:r>
            <w:r>
              <w:rPr>
                <w:kern w:val="0"/>
                <w:sz w:val="20"/>
              </w:rPr>
              <w:t>10%</w:t>
            </w:r>
            <w:r>
              <w:rPr>
                <w:rFonts w:hint="eastAsia"/>
                <w:kern w:val="0"/>
                <w:sz w:val="20"/>
              </w:rPr>
              <w:t>）</w:t>
            </w:r>
          </w:p>
        </w:tc>
        <w:tc>
          <w:tcPr>
            <w:tcW w:w="3111" w:type="dxa"/>
            <w:tcBorders>
              <w:top w:val="nil"/>
              <w:left w:val="nil"/>
              <w:bottom w:val="nil"/>
              <w:right w:val="nil"/>
            </w:tcBorders>
            <w:vAlign w:val="center"/>
          </w:tcPr>
          <w:p>
            <w:pPr>
              <w:widowControl/>
              <w:jc w:val="center"/>
              <w:textAlignment w:val="center"/>
              <w:rPr>
                <w:kern w:val="0"/>
                <w:sz w:val="20"/>
              </w:rPr>
            </w:pPr>
            <w:r>
              <w:rPr>
                <w:kern w:val="0"/>
                <w:sz w:val="20"/>
              </w:rPr>
              <w:t>Sulfuric acid (10%)</w:t>
            </w:r>
          </w:p>
        </w:tc>
        <w:tc>
          <w:tcPr>
            <w:tcW w:w="1591"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腐蚀性</w:t>
            </w:r>
          </w:p>
        </w:tc>
        <w:tc>
          <w:tcPr>
            <w:tcW w:w="1473" w:type="dxa"/>
            <w:tcBorders>
              <w:top w:val="nil"/>
              <w:left w:val="nil"/>
              <w:bottom w:val="nil"/>
              <w:right w:val="nil"/>
            </w:tcBorders>
            <w:vAlign w:val="center"/>
          </w:tcPr>
          <w:p>
            <w:pPr>
              <w:jc w:val="center"/>
              <w:rPr>
                <w:sz w:val="20"/>
              </w:rPr>
            </w:pPr>
            <w:r>
              <w:rPr>
                <w:rFonts w:hint="eastAsia"/>
                <w:color w:val="000000"/>
                <w:kern w:val="24"/>
                <w:sz w:val="20"/>
              </w:rPr>
              <w:t>国药集团</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2674"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辛酸</w:t>
            </w:r>
          </w:p>
        </w:tc>
        <w:tc>
          <w:tcPr>
            <w:tcW w:w="3111" w:type="dxa"/>
            <w:tcBorders>
              <w:top w:val="nil"/>
              <w:left w:val="nil"/>
              <w:bottom w:val="nil"/>
              <w:right w:val="nil"/>
            </w:tcBorders>
            <w:vAlign w:val="center"/>
          </w:tcPr>
          <w:p>
            <w:pPr>
              <w:widowControl/>
              <w:jc w:val="center"/>
              <w:textAlignment w:val="center"/>
              <w:rPr>
                <w:kern w:val="0"/>
                <w:sz w:val="20"/>
              </w:rPr>
            </w:pPr>
            <w:r>
              <w:rPr>
                <w:kern w:val="0"/>
                <w:sz w:val="20"/>
              </w:rPr>
              <w:t>Octanoic acid</w:t>
            </w:r>
          </w:p>
        </w:tc>
        <w:tc>
          <w:tcPr>
            <w:tcW w:w="1591"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腐蚀性</w:t>
            </w:r>
          </w:p>
        </w:tc>
        <w:tc>
          <w:tcPr>
            <w:tcW w:w="1473" w:type="dxa"/>
            <w:tcBorders>
              <w:top w:val="nil"/>
              <w:left w:val="nil"/>
              <w:bottom w:val="nil"/>
              <w:right w:val="nil"/>
            </w:tcBorders>
            <w:vAlign w:val="center"/>
          </w:tcPr>
          <w:p>
            <w:pPr>
              <w:jc w:val="center"/>
              <w:rPr>
                <w:sz w:val="20"/>
              </w:rPr>
            </w:pPr>
            <w:r>
              <w:rPr>
                <w:rFonts w:hint="eastAsia"/>
                <w:color w:val="000000"/>
                <w:kern w:val="24"/>
                <w:sz w:val="20"/>
              </w:rPr>
              <w:t>国药集团</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2674" w:type="dxa"/>
            <w:tcBorders>
              <w:top w:val="nil"/>
              <w:left w:val="nil"/>
              <w:bottom w:val="nil"/>
              <w:right w:val="nil"/>
            </w:tcBorders>
            <w:vAlign w:val="center"/>
          </w:tcPr>
          <w:p>
            <w:pPr>
              <w:widowControl/>
              <w:jc w:val="center"/>
              <w:textAlignment w:val="center"/>
              <w:rPr>
                <w:rFonts w:hint="eastAsia"/>
                <w:kern w:val="0"/>
                <w:sz w:val="20"/>
              </w:rPr>
            </w:pPr>
            <w:r>
              <w:rPr>
                <w:kern w:val="0"/>
                <w:sz w:val="20"/>
              </w:rPr>
              <w:t>1,2-</w:t>
            </w:r>
            <w:r>
              <w:rPr>
                <w:rFonts w:hint="eastAsia"/>
                <w:kern w:val="0"/>
                <w:sz w:val="20"/>
              </w:rPr>
              <w:t>丙二胺</w:t>
            </w:r>
          </w:p>
        </w:tc>
        <w:tc>
          <w:tcPr>
            <w:tcW w:w="3111" w:type="dxa"/>
            <w:tcBorders>
              <w:top w:val="nil"/>
              <w:left w:val="nil"/>
              <w:bottom w:val="nil"/>
              <w:right w:val="nil"/>
            </w:tcBorders>
            <w:vAlign w:val="center"/>
          </w:tcPr>
          <w:p>
            <w:pPr>
              <w:widowControl/>
              <w:jc w:val="center"/>
              <w:textAlignment w:val="center"/>
              <w:rPr>
                <w:kern w:val="0"/>
                <w:sz w:val="20"/>
              </w:rPr>
            </w:pPr>
            <w:r>
              <w:rPr>
                <w:kern w:val="0"/>
                <w:sz w:val="20"/>
              </w:rPr>
              <w:t>1,2-Propanediamine</w:t>
            </w:r>
          </w:p>
        </w:tc>
        <w:tc>
          <w:tcPr>
            <w:tcW w:w="1591" w:type="dxa"/>
            <w:tcBorders>
              <w:top w:val="nil"/>
              <w:left w:val="nil"/>
              <w:bottom w:val="nil"/>
              <w:right w:val="nil"/>
            </w:tcBorders>
            <w:vAlign w:val="center"/>
          </w:tcPr>
          <w:p>
            <w:pPr>
              <w:widowControl/>
              <w:jc w:val="center"/>
              <w:textAlignment w:val="center"/>
              <w:rPr>
                <w:rFonts w:hint="eastAsia"/>
                <w:kern w:val="0"/>
                <w:sz w:val="20"/>
              </w:rPr>
            </w:pPr>
            <w:r>
              <w:rPr>
                <w:rFonts w:hint="eastAsia"/>
                <w:kern w:val="0"/>
                <w:sz w:val="20"/>
              </w:rPr>
              <w:t>严重腐蚀性</w:t>
            </w:r>
          </w:p>
        </w:tc>
        <w:tc>
          <w:tcPr>
            <w:tcW w:w="1473" w:type="dxa"/>
            <w:tcBorders>
              <w:top w:val="nil"/>
              <w:left w:val="nil"/>
              <w:bottom w:val="nil"/>
              <w:right w:val="nil"/>
            </w:tcBorders>
            <w:vAlign w:val="center"/>
          </w:tcPr>
          <w:p>
            <w:pPr>
              <w:jc w:val="center"/>
              <w:rPr>
                <w:sz w:val="20"/>
              </w:rPr>
            </w:pPr>
            <w:r>
              <w:rPr>
                <w:rFonts w:hint="eastAsia"/>
                <w:color w:val="000000"/>
                <w:kern w:val="24"/>
                <w:sz w:val="20"/>
              </w:rPr>
              <w:t>国药集团</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97" w:hRule="exact"/>
          <w:jc w:val="center"/>
        </w:trPr>
        <w:tc>
          <w:tcPr>
            <w:tcW w:w="2674" w:type="dxa"/>
            <w:tcBorders>
              <w:top w:val="nil"/>
              <w:left w:val="nil"/>
              <w:bottom w:val="single" w:color="auto" w:sz="12" w:space="0"/>
              <w:right w:val="nil"/>
            </w:tcBorders>
            <w:vAlign w:val="center"/>
          </w:tcPr>
          <w:p>
            <w:pPr>
              <w:widowControl/>
              <w:jc w:val="center"/>
              <w:textAlignment w:val="center"/>
              <w:rPr>
                <w:rFonts w:hint="eastAsia"/>
                <w:kern w:val="0"/>
                <w:sz w:val="20"/>
              </w:rPr>
            </w:pPr>
            <w:r>
              <w:rPr>
                <w:rFonts w:hint="eastAsia"/>
                <w:kern w:val="0"/>
                <w:sz w:val="20"/>
              </w:rPr>
              <w:t>丙烯酸</w:t>
            </w:r>
          </w:p>
        </w:tc>
        <w:tc>
          <w:tcPr>
            <w:tcW w:w="3111" w:type="dxa"/>
            <w:tcBorders>
              <w:top w:val="nil"/>
              <w:left w:val="nil"/>
              <w:bottom w:val="single" w:color="auto" w:sz="12" w:space="0"/>
              <w:right w:val="nil"/>
            </w:tcBorders>
            <w:vAlign w:val="center"/>
          </w:tcPr>
          <w:p>
            <w:pPr>
              <w:widowControl/>
              <w:jc w:val="center"/>
              <w:textAlignment w:val="center"/>
              <w:rPr>
                <w:kern w:val="0"/>
                <w:sz w:val="20"/>
              </w:rPr>
            </w:pPr>
            <w:r>
              <w:rPr>
                <w:kern w:val="0"/>
                <w:sz w:val="20"/>
              </w:rPr>
              <w:t>Acrylic acid</w:t>
            </w:r>
          </w:p>
        </w:tc>
        <w:tc>
          <w:tcPr>
            <w:tcW w:w="1591" w:type="dxa"/>
            <w:tcBorders>
              <w:top w:val="nil"/>
              <w:left w:val="nil"/>
              <w:bottom w:val="single" w:color="auto" w:sz="12" w:space="0"/>
              <w:right w:val="nil"/>
            </w:tcBorders>
            <w:vAlign w:val="center"/>
          </w:tcPr>
          <w:p>
            <w:pPr>
              <w:widowControl/>
              <w:jc w:val="center"/>
              <w:textAlignment w:val="center"/>
              <w:rPr>
                <w:rFonts w:hint="eastAsia"/>
                <w:kern w:val="0"/>
                <w:sz w:val="20"/>
              </w:rPr>
            </w:pPr>
            <w:r>
              <w:rPr>
                <w:rFonts w:hint="eastAsia"/>
                <w:kern w:val="0"/>
                <w:sz w:val="20"/>
              </w:rPr>
              <w:t>严重腐蚀性</w:t>
            </w:r>
          </w:p>
        </w:tc>
        <w:tc>
          <w:tcPr>
            <w:tcW w:w="1473" w:type="dxa"/>
            <w:tcBorders>
              <w:top w:val="nil"/>
              <w:left w:val="nil"/>
              <w:bottom w:val="single" w:color="auto" w:sz="12" w:space="0"/>
              <w:right w:val="nil"/>
            </w:tcBorders>
            <w:vAlign w:val="center"/>
          </w:tcPr>
          <w:p>
            <w:pPr>
              <w:jc w:val="center"/>
              <w:rPr>
                <w:sz w:val="20"/>
              </w:rPr>
            </w:pPr>
            <w:r>
              <w:rPr>
                <w:rFonts w:hint="eastAsia"/>
                <w:color w:val="000000"/>
                <w:kern w:val="24"/>
                <w:sz w:val="20"/>
              </w:rPr>
              <w:t>国药集团</w:t>
            </w:r>
          </w:p>
        </w:tc>
      </w:tr>
    </w:tbl>
    <w:p>
      <w:pPr>
        <w:spacing w:line="300" w:lineRule="auto"/>
        <w:jc w:val="left"/>
        <w:rPr>
          <w:rFonts w:hint="eastAsia" w:eastAsia="楷体_GB2312"/>
        </w:rPr>
      </w:pPr>
      <w:r>
        <w:rPr>
          <w:sz w:val="24"/>
        </w:rPr>
        <w:t>注：</w:t>
      </w:r>
      <w:r>
        <w:rPr>
          <w:rFonts w:eastAsia="楷体_GB2312"/>
        </w:rPr>
        <w:t>各受试物经</w:t>
      </w:r>
      <w:r>
        <w:rPr>
          <w:rFonts w:hint="eastAsia" w:eastAsia="楷体_GB2312"/>
        </w:rPr>
        <w:t>腐蚀性为OECD TG430参考物质</w:t>
      </w:r>
      <w:r>
        <w:rPr>
          <w:rFonts w:eastAsia="楷体_GB2312"/>
        </w:rPr>
        <w:t>表中</w:t>
      </w:r>
      <w:r>
        <w:rPr>
          <w:rFonts w:hint="eastAsia" w:eastAsia="楷体_GB2312"/>
        </w:rPr>
        <w:t>给出</w:t>
      </w:r>
      <w:r>
        <w:rPr>
          <w:rFonts w:eastAsia="楷体_GB2312"/>
        </w:rPr>
        <w:t>的参考腐蚀性。</w:t>
      </w:r>
    </w:p>
    <w:p>
      <w:pPr>
        <w:pStyle w:val="19"/>
        <w:spacing w:line="360" w:lineRule="auto"/>
        <w:ind w:firstLine="0" w:firstLineChars="0"/>
        <w:rPr>
          <w:rStyle w:val="31"/>
          <w:rFonts w:ascii="仿宋_GB2312" w:eastAsia="仿宋_GB2312"/>
          <w:sz w:val="32"/>
          <w:szCs w:val="32"/>
        </w:rPr>
      </w:pPr>
    </w:p>
    <w:sectPr>
      <w:footerReference r:id="rId6" w:type="first"/>
      <w:headerReference r:id="rId3" w:type="default"/>
      <w:footerReference r:id="rId4" w:type="default"/>
      <w:footerReference r:id="rId5" w:type="even"/>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6</w:t>
    </w:r>
    <w:r>
      <w:fldChar w:fldCharType="end"/>
    </w:r>
  </w:p>
  <w:p>
    <w:pPr>
      <w:pStyle w:val="6"/>
      <w:ind w:right="210"/>
      <w:rPr>
        <w:rStyle w:val="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rPr>
        <w:rStyle w:val="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77B"/>
    <w:rsid w:val="00000BFF"/>
    <w:rsid w:val="000037EE"/>
    <w:rsid w:val="00005F8B"/>
    <w:rsid w:val="00011BFF"/>
    <w:rsid w:val="00015C8B"/>
    <w:rsid w:val="00023C87"/>
    <w:rsid w:val="00023C89"/>
    <w:rsid w:val="0003600A"/>
    <w:rsid w:val="00037EA4"/>
    <w:rsid w:val="0005625F"/>
    <w:rsid w:val="00056DEB"/>
    <w:rsid w:val="000624B0"/>
    <w:rsid w:val="000648FF"/>
    <w:rsid w:val="000705C0"/>
    <w:rsid w:val="00072E08"/>
    <w:rsid w:val="00081611"/>
    <w:rsid w:val="0008680D"/>
    <w:rsid w:val="00097DDF"/>
    <w:rsid w:val="000A0C70"/>
    <w:rsid w:val="000A1E7C"/>
    <w:rsid w:val="000A4D1F"/>
    <w:rsid w:val="000A646F"/>
    <w:rsid w:val="000A7D30"/>
    <w:rsid w:val="000B1744"/>
    <w:rsid w:val="000C4085"/>
    <w:rsid w:val="000C61D4"/>
    <w:rsid w:val="000C7315"/>
    <w:rsid w:val="000D1EBA"/>
    <w:rsid w:val="000D7F87"/>
    <w:rsid w:val="000E0847"/>
    <w:rsid w:val="000E6AB8"/>
    <w:rsid w:val="000F1085"/>
    <w:rsid w:val="000F1929"/>
    <w:rsid w:val="000F2225"/>
    <w:rsid w:val="00101DDE"/>
    <w:rsid w:val="00102319"/>
    <w:rsid w:val="001056F1"/>
    <w:rsid w:val="00106BA4"/>
    <w:rsid w:val="00106E20"/>
    <w:rsid w:val="00110976"/>
    <w:rsid w:val="00124F63"/>
    <w:rsid w:val="00131E61"/>
    <w:rsid w:val="00132045"/>
    <w:rsid w:val="00143D71"/>
    <w:rsid w:val="001466BC"/>
    <w:rsid w:val="00147032"/>
    <w:rsid w:val="001567B5"/>
    <w:rsid w:val="00156DF9"/>
    <w:rsid w:val="00157FB1"/>
    <w:rsid w:val="00161E01"/>
    <w:rsid w:val="001740A2"/>
    <w:rsid w:val="00182362"/>
    <w:rsid w:val="00190088"/>
    <w:rsid w:val="001A3CD4"/>
    <w:rsid w:val="001A4CFF"/>
    <w:rsid w:val="001A5077"/>
    <w:rsid w:val="001A7F04"/>
    <w:rsid w:val="001B7348"/>
    <w:rsid w:val="001C01B1"/>
    <w:rsid w:val="001D1AAC"/>
    <w:rsid w:val="001D5767"/>
    <w:rsid w:val="001F043E"/>
    <w:rsid w:val="001F6714"/>
    <w:rsid w:val="002003C5"/>
    <w:rsid w:val="002043A7"/>
    <w:rsid w:val="00204848"/>
    <w:rsid w:val="00210C7B"/>
    <w:rsid w:val="0021297F"/>
    <w:rsid w:val="00217639"/>
    <w:rsid w:val="00221195"/>
    <w:rsid w:val="002216EC"/>
    <w:rsid w:val="00221C12"/>
    <w:rsid w:val="002269ED"/>
    <w:rsid w:val="00233826"/>
    <w:rsid w:val="002342BA"/>
    <w:rsid w:val="00236748"/>
    <w:rsid w:val="002401A0"/>
    <w:rsid w:val="00241600"/>
    <w:rsid w:val="002441D2"/>
    <w:rsid w:val="00245161"/>
    <w:rsid w:val="002453B2"/>
    <w:rsid w:val="00255B7C"/>
    <w:rsid w:val="00263EB4"/>
    <w:rsid w:val="00270B2A"/>
    <w:rsid w:val="002769F0"/>
    <w:rsid w:val="002844EA"/>
    <w:rsid w:val="00292904"/>
    <w:rsid w:val="002A1C6B"/>
    <w:rsid w:val="002B269F"/>
    <w:rsid w:val="002B72BD"/>
    <w:rsid w:val="002B792C"/>
    <w:rsid w:val="002D5DED"/>
    <w:rsid w:val="002E3D85"/>
    <w:rsid w:val="002E6067"/>
    <w:rsid w:val="002E6991"/>
    <w:rsid w:val="002F43E9"/>
    <w:rsid w:val="00300B4E"/>
    <w:rsid w:val="00303C94"/>
    <w:rsid w:val="003142DC"/>
    <w:rsid w:val="003178F3"/>
    <w:rsid w:val="00322965"/>
    <w:rsid w:val="00323AE4"/>
    <w:rsid w:val="00336758"/>
    <w:rsid w:val="00344FC4"/>
    <w:rsid w:val="003479DF"/>
    <w:rsid w:val="00354252"/>
    <w:rsid w:val="0036572F"/>
    <w:rsid w:val="003733A3"/>
    <w:rsid w:val="00377AF6"/>
    <w:rsid w:val="003849E9"/>
    <w:rsid w:val="003968C1"/>
    <w:rsid w:val="00396DA6"/>
    <w:rsid w:val="003A2784"/>
    <w:rsid w:val="003A3E69"/>
    <w:rsid w:val="003A5408"/>
    <w:rsid w:val="003A6326"/>
    <w:rsid w:val="003B7600"/>
    <w:rsid w:val="003D18A6"/>
    <w:rsid w:val="003D3843"/>
    <w:rsid w:val="003D7BEF"/>
    <w:rsid w:val="003F01DF"/>
    <w:rsid w:val="003F044A"/>
    <w:rsid w:val="003F0D90"/>
    <w:rsid w:val="003F551D"/>
    <w:rsid w:val="00402A73"/>
    <w:rsid w:val="004034EA"/>
    <w:rsid w:val="0041223A"/>
    <w:rsid w:val="004153FD"/>
    <w:rsid w:val="00416E90"/>
    <w:rsid w:val="004202BF"/>
    <w:rsid w:val="0042102A"/>
    <w:rsid w:val="00425A95"/>
    <w:rsid w:val="00426FDC"/>
    <w:rsid w:val="004345E6"/>
    <w:rsid w:val="0044002C"/>
    <w:rsid w:val="00440439"/>
    <w:rsid w:val="0044577B"/>
    <w:rsid w:val="00445CA5"/>
    <w:rsid w:val="0044785B"/>
    <w:rsid w:val="00456FD1"/>
    <w:rsid w:val="00460CF3"/>
    <w:rsid w:val="00463E58"/>
    <w:rsid w:val="00472404"/>
    <w:rsid w:val="004767F8"/>
    <w:rsid w:val="00477F40"/>
    <w:rsid w:val="00485C6E"/>
    <w:rsid w:val="00485E3C"/>
    <w:rsid w:val="00486DE8"/>
    <w:rsid w:val="00487CEA"/>
    <w:rsid w:val="004B320F"/>
    <w:rsid w:val="004B6455"/>
    <w:rsid w:val="004B6BCA"/>
    <w:rsid w:val="004C28DB"/>
    <w:rsid w:val="004C5862"/>
    <w:rsid w:val="004C73A7"/>
    <w:rsid w:val="004D009B"/>
    <w:rsid w:val="004D3D7C"/>
    <w:rsid w:val="004D533A"/>
    <w:rsid w:val="004E1CD4"/>
    <w:rsid w:val="004E4221"/>
    <w:rsid w:val="004F7AF9"/>
    <w:rsid w:val="005001CE"/>
    <w:rsid w:val="00500F67"/>
    <w:rsid w:val="005107E2"/>
    <w:rsid w:val="00511DEE"/>
    <w:rsid w:val="005174EB"/>
    <w:rsid w:val="00520A34"/>
    <w:rsid w:val="00520C06"/>
    <w:rsid w:val="005217AB"/>
    <w:rsid w:val="00522E68"/>
    <w:rsid w:val="0052524A"/>
    <w:rsid w:val="0052760B"/>
    <w:rsid w:val="00527CAA"/>
    <w:rsid w:val="0053333E"/>
    <w:rsid w:val="00535E36"/>
    <w:rsid w:val="00536B52"/>
    <w:rsid w:val="00536EE2"/>
    <w:rsid w:val="005375FC"/>
    <w:rsid w:val="00540C25"/>
    <w:rsid w:val="00542815"/>
    <w:rsid w:val="005456F5"/>
    <w:rsid w:val="0055262C"/>
    <w:rsid w:val="00555172"/>
    <w:rsid w:val="0055739C"/>
    <w:rsid w:val="00563295"/>
    <w:rsid w:val="00566CC1"/>
    <w:rsid w:val="0057367A"/>
    <w:rsid w:val="00573EF1"/>
    <w:rsid w:val="005861C1"/>
    <w:rsid w:val="00587461"/>
    <w:rsid w:val="005951A9"/>
    <w:rsid w:val="00597702"/>
    <w:rsid w:val="005A68AD"/>
    <w:rsid w:val="005A68D7"/>
    <w:rsid w:val="005B15D7"/>
    <w:rsid w:val="005B3CFE"/>
    <w:rsid w:val="005B4C3C"/>
    <w:rsid w:val="005B72FF"/>
    <w:rsid w:val="005C52BB"/>
    <w:rsid w:val="005C73EA"/>
    <w:rsid w:val="005D45A7"/>
    <w:rsid w:val="005D4881"/>
    <w:rsid w:val="005D489E"/>
    <w:rsid w:val="005D637B"/>
    <w:rsid w:val="005E111D"/>
    <w:rsid w:val="005E5D72"/>
    <w:rsid w:val="005E7D56"/>
    <w:rsid w:val="005F016F"/>
    <w:rsid w:val="005F52CB"/>
    <w:rsid w:val="005F698E"/>
    <w:rsid w:val="0060323A"/>
    <w:rsid w:val="00603ED9"/>
    <w:rsid w:val="00603F70"/>
    <w:rsid w:val="0060462A"/>
    <w:rsid w:val="00605402"/>
    <w:rsid w:val="00605DFF"/>
    <w:rsid w:val="006069E7"/>
    <w:rsid w:val="00606F28"/>
    <w:rsid w:val="00607F02"/>
    <w:rsid w:val="00610758"/>
    <w:rsid w:val="006110FC"/>
    <w:rsid w:val="006315DB"/>
    <w:rsid w:val="00633993"/>
    <w:rsid w:val="00636A9C"/>
    <w:rsid w:val="0064461C"/>
    <w:rsid w:val="00657978"/>
    <w:rsid w:val="00677106"/>
    <w:rsid w:val="006775A1"/>
    <w:rsid w:val="006933E9"/>
    <w:rsid w:val="00696A04"/>
    <w:rsid w:val="00696F87"/>
    <w:rsid w:val="006A11A7"/>
    <w:rsid w:val="006B3C31"/>
    <w:rsid w:val="006B5979"/>
    <w:rsid w:val="006B7538"/>
    <w:rsid w:val="006C3335"/>
    <w:rsid w:val="006C72F0"/>
    <w:rsid w:val="006E0307"/>
    <w:rsid w:val="006E0EA1"/>
    <w:rsid w:val="006E50E9"/>
    <w:rsid w:val="006F0032"/>
    <w:rsid w:val="006F7DC6"/>
    <w:rsid w:val="007036A0"/>
    <w:rsid w:val="0071504B"/>
    <w:rsid w:val="00716FD8"/>
    <w:rsid w:val="00723A34"/>
    <w:rsid w:val="00730BD4"/>
    <w:rsid w:val="00731040"/>
    <w:rsid w:val="007410FC"/>
    <w:rsid w:val="00752121"/>
    <w:rsid w:val="00753E27"/>
    <w:rsid w:val="007561D0"/>
    <w:rsid w:val="0075662F"/>
    <w:rsid w:val="007574E9"/>
    <w:rsid w:val="00761B94"/>
    <w:rsid w:val="00777DF2"/>
    <w:rsid w:val="00782BBC"/>
    <w:rsid w:val="007963CF"/>
    <w:rsid w:val="007B0214"/>
    <w:rsid w:val="007B32A1"/>
    <w:rsid w:val="007B7C51"/>
    <w:rsid w:val="007C7F02"/>
    <w:rsid w:val="007D3FDF"/>
    <w:rsid w:val="007D42EC"/>
    <w:rsid w:val="007E1040"/>
    <w:rsid w:val="007E1D1D"/>
    <w:rsid w:val="007E2472"/>
    <w:rsid w:val="007E2A13"/>
    <w:rsid w:val="007E7294"/>
    <w:rsid w:val="008004C5"/>
    <w:rsid w:val="00810309"/>
    <w:rsid w:val="00812FAE"/>
    <w:rsid w:val="00813230"/>
    <w:rsid w:val="0081569C"/>
    <w:rsid w:val="0081668E"/>
    <w:rsid w:val="00822FEE"/>
    <w:rsid w:val="0083024F"/>
    <w:rsid w:val="0083291B"/>
    <w:rsid w:val="008368CB"/>
    <w:rsid w:val="0084404B"/>
    <w:rsid w:val="0084528B"/>
    <w:rsid w:val="00845C33"/>
    <w:rsid w:val="0084604E"/>
    <w:rsid w:val="00851CC5"/>
    <w:rsid w:val="00851FC2"/>
    <w:rsid w:val="008572C7"/>
    <w:rsid w:val="00857B12"/>
    <w:rsid w:val="00865ED3"/>
    <w:rsid w:val="008665C0"/>
    <w:rsid w:val="0087709E"/>
    <w:rsid w:val="008837DD"/>
    <w:rsid w:val="008865CD"/>
    <w:rsid w:val="008B4687"/>
    <w:rsid w:val="008C04C5"/>
    <w:rsid w:val="008C67DA"/>
    <w:rsid w:val="008D41D7"/>
    <w:rsid w:val="008D5B0B"/>
    <w:rsid w:val="008E08CA"/>
    <w:rsid w:val="008E0C22"/>
    <w:rsid w:val="00910121"/>
    <w:rsid w:val="009104A1"/>
    <w:rsid w:val="00910537"/>
    <w:rsid w:val="00910E2E"/>
    <w:rsid w:val="00911907"/>
    <w:rsid w:val="00913B5A"/>
    <w:rsid w:val="009159F6"/>
    <w:rsid w:val="00921129"/>
    <w:rsid w:val="00921C05"/>
    <w:rsid w:val="00931303"/>
    <w:rsid w:val="00933061"/>
    <w:rsid w:val="009350AD"/>
    <w:rsid w:val="009409DD"/>
    <w:rsid w:val="0094142E"/>
    <w:rsid w:val="00946136"/>
    <w:rsid w:val="00952691"/>
    <w:rsid w:val="00952CB9"/>
    <w:rsid w:val="00960E5B"/>
    <w:rsid w:val="009610F0"/>
    <w:rsid w:val="009647E4"/>
    <w:rsid w:val="009724B4"/>
    <w:rsid w:val="0098111E"/>
    <w:rsid w:val="009816E5"/>
    <w:rsid w:val="009822B4"/>
    <w:rsid w:val="00982FB4"/>
    <w:rsid w:val="00987E9B"/>
    <w:rsid w:val="009A088A"/>
    <w:rsid w:val="009A3FE9"/>
    <w:rsid w:val="009A643D"/>
    <w:rsid w:val="009A7628"/>
    <w:rsid w:val="009B56FF"/>
    <w:rsid w:val="009D11B4"/>
    <w:rsid w:val="009D3D2A"/>
    <w:rsid w:val="009D4F1F"/>
    <w:rsid w:val="009E0283"/>
    <w:rsid w:val="009E4339"/>
    <w:rsid w:val="009E544A"/>
    <w:rsid w:val="009F042B"/>
    <w:rsid w:val="009F5B43"/>
    <w:rsid w:val="009F6C8E"/>
    <w:rsid w:val="00A018EE"/>
    <w:rsid w:val="00A139B8"/>
    <w:rsid w:val="00A1503D"/>
    <w:rsid w:val="00A15665"/>
    <w:rsid w:val="00A221F7"/>
    <w:rsid w:val="00A24168"/>
    <w:rsid w:val="00A278A9"/>
    <w:rsid w:val="00A31B8C"/>
    <w:rsid w:val="00A4064C"/>
    <w:rsid w:val="00A44910"/>
    <w:rsid w:val="00A45C41"/>
    <w:rsid w:val="00A45D57"/>
    <w:rsid w:val="00A52A2B"/>
    <w:rsid w:val="00A54208"/>
    <w:rsid w:val="00A56BB1"/>
    <w:rsid w:val="00A575D7"/>
    <w:rsid w:val="00A60384"/>
    <w:rsid w:val="00A644C4"/>
    <w:rsid w:val="00A736BD"/>
    <w:rsid w:val="00A7619A"/>
    <w:rsid w:val="00A76FCB"/>
    <w:rsid w:val="00A84084"/>
    <w:rsid w:val="00A84D44"/>
    <w:rsid w:val="00A84E60"/>
    <w:rsid w:val="00A84F8D"/>
    <w:rsid w:val="00A95A0C"/>
    <w:rsid w:val="00A95CAD"/>
    <w:rsid w:val="00AA1BE4"/>
    <w:rsid w:val="00AA2A71"/>
    <w:rsid w:val="00AA2A7A"/>
    <w:rsid w:val="00AA4B87"/>
    <w:rsid w:val="00AA5A58"/>
    <w:rsid w:val="00AA6AA3"/>
    <w:rsid w:val="00AB3F5A"/>
    <w:rsid w:val="00AC5993"/>
    <w:rsid w:val="00AD3F4B"/>
    <w:rsid w:val="00AE0CD7"/>
    <w:rsid w:val="00AE1CD2"/>
    <w:rsid w:val="00AF2843"/>
    <w:rsid w:val="00AF56D8"/>
    <w:rsid w:val="00B11094"/>
    <w:rsid w:val="00B20408"/>
    <w:rsid w:val="00B21B53"/>
    <w:rsid w:val="00B27C48"/>
    <w:rsid w:val="00B51C42"/>
    <w:rsid w:val="00B55754"/>
    <w:rsid w:val="00B5731F"/>
    <w:rsid w:val="00B6097E"/>
    <w:rsid w:val="00B6524F"/>
    <w:rsid w:val="00B6586F"/>
    <w:rsid w:val="00B66C82"/>
    <w:rsid w:val="00B767F6"/>
    <w:rsid w:val="00B77820"/>
    <w:rsid w:val="00B82D29"/>
    <w:rsid w:val="00B874A8"/>
    <w:rsid w:val="00B91E5D"/>
    <w:rsid w:val="00B93481"/>
    <w:rsid w:val="00BA6C61"/>
    <w:rsid w:val="00BA6EE0"/>
    <w:rsid w:val="00BB041E"/>
    <w:rsid w:val="00BB14E8"/>
    <w:rsid w:val="00BB1B09"/>
    <w:rsid w:val="00BC0BC3"/>
    <w:rsid w:val="00BC2416"/>
    <w:rsid w:val="00BC5BAE"/>
    <w:rsid w:val="00BE3FE8"/>
    <w:rsid w:val="00BF1CA7"/>
    <w:rsid w:val="00BF1F52"/>
    <w:rsid w:val="00BF79AC"/>
    <w:rsid w:val="00C06103"/>
    <w:rsid w:val="00C1589E"/>
    <w:rsid w:val="00C160AD"/>
    <w:rsid w:val="00C306DD"/>
    <w:rsid w:val="00C312E3"/>
    <w:rsid w:val="00C420F2"/>
    <w:rsid w:val="00C4675C"/>
    <w:rsid w:val="00C504A1"/>
    <w:rsid w:val="00C61B88"/>
    <w:rsid w:val="00C620D9"/>
    <w:rsid w:val="00C63DE7"/>
    <w:rsid w:val="00C646D9"/>
    <w:rsid w:val="00C6541D"/>
    <w:rsid w:val="00C655DE"/>
    <w:rsid w:val="00C7183F"/>
    <w:rsid w:val="00C76457"/>
    <w:rsid w:val="00C84559"/>
    <w:rsid w:val="00C939F7"/>
    <w:rsid w:val="00C94E79"/>
    <w:rsid w:val="00C95F49"/>
    <w:rsid w:val="00CA23F8"/>
    <w:rsid w:val="00CA2B99"/>
    <w:rsid w:val="00CA4493"/>
    <w:rsid w:val="00CA4CC3"/>
    <w:rsid w:val="00CA7971"/>
    <w:rsid w:val="00CB4195"/>
    <w:rsid w:val="00CC5B32"/>
    <w:rsid w:val="00CD05BD"/>
    <w:rsid w:val="00CD6650"/>
    <w:rsid w:val="00CD686A"/>
    <w:rsid w:val="00CE19AC"/>
    <w:rsid w:val="00CF430C"/>
    <w:rsid w:val="00CF4450"/>
    <w:rsid w:val="00D21B5C"/>
    <w:rsid w:val="00D2249C"/>
    <w:rsid w:val="00D23B2C"/>
    <w:rsid w:val="00D271EF"/>
    <w:rsid w:val="00D30DBE"/>
    <w:rsid w:val="00D31EDE"/>
    <w:rsid w:val="00D421C1"/>
    <w:rsid w:val="00D445F3"/>
    <w:rsid w:val="00D47D80"/>
    <w:rsid w:val="00D51E41"/>
    <w:rsid w:val="00D55928"/>
    <w:rsid w:val="00D6042D"/>
    <w:rsid w:val="00D70756"/>
    <w:rsid w:val="00D719CA"/>
    <w:rsid w:val="00D73DED"/>
    <w:rsid w:val="00D75993"/>
    <w:rsid w:val="00D76E14"/>
    <w:rsid w:val="00D82B03"/>
    <w:rsid w:val="00D83C65"/>
    <w:rsid w:val="00D87CBE"/>
    <w:rsid w:val="00D90752"/>
    <w:rsid w:val="00D92465"/>
    <w:rsid w:val="00D97DEF"/>
    <w:rsid w:val="00D97E51"/>
    <w:rsid w:val="00DA00D2"/>
    <w:rsid w:val="00DB6FE4"/>
    <w:rsid w:val="00DC3EAD"/>
    <w:rsid w:val="00DC49B4"/>
    <w:rsid w:val="00DE0BDE"/>
    <w:rsid w:val="00DE1FBC"/>
    <w:rsid w:val="00DE254B"/>
    <w:rsid w:val="00DE366C"/>
    <w:rsid w:val="00DE495A"/>
    <w:rsid w:val="00DE6348"/>
    <w:rsid w:val="00DF13A1"/>
    <w:rsid w:val="00DF2406"/>
    <w:rsid w:val="00DF3531"/>
    <w:rsid w:val="00E0007B"/>
    <w:rsid w:val="00E05072"/>
    <w:rsid w:val="00E05BF3"/>
    <w:rsid w:val="00E20711"/>
    <w:rsid w:val="00E22AAB"/>
    <w:rsid w:val="00E23B7C"/>
    <w:rsid w:val="00E310A1"/>
    <w:rsid w:val="00E3353C"/>
    <w:rsid w:val="00E360B0"/>
    <w:rsid w:val="00E36C54"/>
    <w:rsid w:val="00E44F04"/>
    <w:rsid w:val="00E47CAF"/>
    <w:rsid w:val="00E50E18"/>
    <w:rsid w:val="00E61481"/>
    <w:rsid w:val="00E63964"/>
    <w:rsid w:val="00E672FE"/>
    <w:rsid w:val="00E67A15"/>
    <w:rsid w:val="00E71EE4"/>
    <w:rsid w:val="00E72BD9"/>
    <w:rsid w:val="00E7377E"/>
    <w:rsid w:val="00E760FB"/>
    <w:rsid w:val="00E77813"/>
    <w:rsid w:val="00E84827"/>
    <w:rsid w:val="00E852A8"/>
    <w:rsid w:val="00E91558"/>
    <w:rsid w:val="00E961AA"/>
    <w:rsid w:val="00EB1940"/>
    <w:rsid w:val="00EB384D"/>
    <w:rsid w:val="00EB4DBE"/>
    <w:rsid w:val="00EC23E7"/>
    <w:rsid w:val="00EC67EA"/>
    <w:rsid w:val="00EC6AE1"/>
    <w:rsid w:val="00ED0154"/>
    <w:rsid w:val="00ED11E1"/>
    <w:rsid w:val="00ED182C"/>
    <w:rsid w:val="00ED6C38"/>
    <w:rsid w:val="00EE0D85"/>
    <w:rsid w:val="00EE1831"/>
    <w:rsid w:val="00EE441F"/>
    <w:rsid w:val="00EE4C11"/>
    <w:rsid w:val="00EF2AAF"/>
    <w:rsid w:val="00EF2E75"/>
    <w:rsid w:val="00EF7F37"/>
    <w:rsid w:val="00F0079F"/>
    <w:rsid w:val="00F058EE"/>
    <w:rsid w:val="00F124F7"/>
    <w:rsid w:val="00F2288C"/>
    <w:rsid w:val="00F3563D"/>
    <w:rsid w:val="00F512C8"/>
    <w:rsid w:val="00F55C34"/>
    <w:rsid w:val="00F5711B"/>
    <w:rsid w:val="00F57BE1"/>
    <w:rsid w:val="00F62453"/>
    <w:rsid w:val="00F66174"/>
    <w:rsid w:val="00F66F24"/>
    <w:rsid w:val="00F6794D"/>
    <w:rsid w:val="00F73361"/>
    <w:rsid w:val="00F73D8F"/>
    <w:rsid w:val="00F77954"/>
    <w:rsid w:val="00F8659B"/>
    <w:rsid w:val="00F913BE"/>
    <w:rsid w:val="00F95767"/>
    <w:rsid w:val="00FA39BE"/>
    <w:rsid w:val="00FB0FB8"/>
    <w:rsid w:val="00FC05A4"/>
    <w:rsid w:val="00FC734D"/>
    <w:rsid w:val="00FD3F1C"/>
    <w:rsid w:val="00FE4D51"/>
    <w:rsid w:val="00FF076B"/>
    <w:rsid w:val="12440ED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0"/>
    <w:qFormat/>
    <w:uiPriority w:val="0"/>
    <w:pPr>
      <w:keepNext/>
      <w:keepLines/>
      <w:spacing w:before="260" w:after="260" w:line="415" w:lineRule="auto"/>
      <w:outlineLvl w:val="1"/>
    </w:pPr>
    <w:rPr>
      <w:rFonts w:ascii="Arial" w:hAnsi="Arial" w:eastAsia="黑体"/>
      <w:b/>
      <w:sz w:val="32"/>
      <w:szCs w:val="20"/>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Body Text Indent"/>
    <w:basedOn w:val="1"/>
    <w:link w:val="13"/>
    <w:uiPriority w:val="0"/>
    <w:pPr>
      <w:ind w:firstLine="600" w:firstLineChars="200"/>
    </w:pPr>
    <w:rPr>
      <w:rFonts w:eastAsia="仿宋_GB2312"/>
      <w:sz w:val="30"/>
    </w:rPr>
  </w:style>
  <w:style w:type="paragraph" w:styleId="4">
    <w:name w:val="Plain Text"/>
    <w:basedOn w:val="1"/>
    <w:link w:val="32"/>
    <w:uiPriority w:val="0"/>
    <w:rPr>
      <w:rFonts w:hint="eastAsia" w:ascii="宋体" w:hAnsi="Courier New" w:cs="Courier New"/>
      <w:szCs w:val="21"/>
    </w:rPr>
  </w:style>
  <w:style w:type="paragraph" w:styleId="5">
    <w:name w:val="Balloon Text"/>
    <w:basedOn w:val="1"/>
    <w:semiHidden/>
    <w:uiPriority w:val="0"/>
    <w:rPr>
      <w:sz w:val="18"/>
      <w:szCs w:val="18"/>
    </w:r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character" w:styleId="9">
    <w:name w:val="page number"/>
    <w:uiPriority w:val="0"/>
    <w:rPr>
      <w:rFonts w:ascii="Times New Roman" w:hAnsi="Times New Roman" w:eastAsia="宋体"/>
      <w:sz w:val="18"/>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_Style 5"/>
    <w:basedOn w:val="1"/>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3">
    <w:name w:val="正文文本缩进 Char"/>
    <w:link w:val="3"/>
    <w:uiPriority w:val="0"/>
    <w:rPr>
      <w:rFonts w:eastAsia="仿宋_GB2312"/>
      <w:kern w:val="2"/>
      <w:sz w:val="30"/>
      <w:szCs w:val="24"/>
      <w:lang w:val="en-US" w:eastAsia="zh-CN" w:bidi="ar-SA"/>
    </w:rPr>
  </w:style>
  <w:style w:type="character" w:customStyle="1" w:styleId="14">
    <w:name w:val="页眉 Char"/>
    <w:link w:val="7"/>
    <w:uiPriority w:val="0"/>
    <w:rPr>
      <w:kern w:val="2"/>
      <w:sz w:val="18"/>
      <w:szCs w:val="18"/>
    </w:rPr>
  </w:style>
  <w:style w:type="character" w:customStyle="1" w:styleId="15">
    <w:name w:val="页脚 Char"/>
    <w:link w:val="6"/>
    <w:qFormat/>
    <w:uiPriority w:val="99"/>
    <w:rPr>
      <w:kern w:val="2"/>
      <w:sz w:val="18"/>
      <w:szCs w:val="18"/>
    </w:rPr>
  </w:style>
  <w:style w:type="character" w:customStyle="1" w:styleId="16">
    <w:name w:val="发布"/>
    <w:uiPriority w:val="0"/>
    <w:rPr>
      <w:rFonts w:ascii="黑体" w:eastAsia="黑体"/>
      <w:spacing w:val="22"/>
      <w:w w:val="100"/>
      <w:position w:val="3"/>
      <w:sz w:val="28"/>
    </w:rPr>
  </w:style>
  <w:style w:type="paragraph" w:customStyle="1" w:styleId="17">
    <w:name w:val="发布日期"/>
    <w:uiPriority w:val="0"/>
    <w:rPr>
      <w:rFonts w:ascii="Times New Roman" w:hAnsi="Times New Roman" w:eastAsia="黑体" w:cs="Times New Roman"/>
      <w:sz w:val="28"/>
      <w:lang w:val="en-US" w:eastAsia="zh-CN" w:bidi="ar-SA"/>
    </w:rPr>
  </w:style>
  <w:style w:type="paragraph" w:customStyle="1" w:styleId="18">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封面正文"/>
    <w:uiPriority w:val="0"/>
    <w:pPr>
      <w:jc w:val="both"/>
    </w:pPr>
    <w:rPr>
      <w:rFonts w:ascii="Times New Roman" w:hAnsi="Times New Roman" w:eastAsia="宋体" w:cs="Times New Roman"/>
      <w:lang w:val="en-US" w:eastAsia="zh-CN" w:bidi="ar-SA"/>
    </w:rPr>
  </w:style>
  <w:style w:type="paragraph" w:customStyle="1" w:styleId="21">
    <w:name w:val="发布部门"/>
    <w:next w:val="19"/>
    <w:uiPriority w:val="0"/>
    <w:pPr>
      <w:jc w:val="center"/>
    </w:pPr>
    <w:rPr>
      <w:rFonts w:ascii="宋体" w:hAnsi="Times New Roman" w:eastAsia="宋体" w:cs="Times New Roman"/>
      <w:b/>
      <w:spacing w:val="20"/>
      <w:w w:val="135"/>
      <w:sz w:val="36"/>
      <w:lang w:val="en-US" w:eastAsia="zh-CN" w:bidi="ar-SA"/>
    </w:rPr>
  </w:style>
  <w:style w:type="paragraph" w:customStyle="1" w:styleId="22">
    <w:name w:val="实施日期"/>
    <w:basedOn w:val="17"/>
    <w:uiPriority w:val="0"/>
    <w:pPr>
      <w:jc w:val="right"/>
    </w:pPr>
  </w:style>
  <w:style w:type="paragraph" w:customStyle="1" w:styleId="23">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4">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目次、标准名称标题"/>
    <w:basedOn w:val="1"/>
    <w:next w:val="19"/>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6">
    <w:name w:val="标准称谓"/>
    <w:next w:val="1"/>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27">
    <w:name w:val="文献分类号"/>
    <w:uiPriority w:val="0"/>
    <w:pPr>
      <w:widowControl w:val="0"/>
      <w:textAlignment w:val="center"/>
    </w:pPr>
    <w:rPr>
      <w:rFonts w:ascii="Times New Roman" w:hAnsi="Times New Roman" w:eastAsia="黑体" w:cs="Times New Roman"/>
      <w:sz w:val="21"/>
      <w:lang w:val="en-US" w:eastAsia="zh-CN" w:bidi="ar-SA"/>
    </w:rPr>
  </w:style>
  <w:style w:type="paragraph" w:customStyle="1" w:styleId="28">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29">
    <w:name w:val="章标题"/>
    <w:next w:val="19"/>
    <w:uiPriority w:val="0"/>
    <w:pPr>
      <w:spacing w:before="50" w:after="50"/>
      <w:jc w:val="both"/>
      <w:outlineLvl w:val="1"/>
    </w:pPr>
    <w:rPr>
      <w:rFonts w:ascii="黑体" w:hAnsi="Times New Roman" w:eastAsia="黑体" w:cs="Times New Roman"/>
      <w:sz w:val="21"/>
      <w:lang w:val="en-US" w:eastAsia="zh-CN" w:bidi="ar-SA"/>
    </w:rPr>
  </w:style>
  <w:style w:type="character" w:customStyle="1" w:styleId="30">
    <w:name w:val="标题 2 Char"/>
    <w:link w:val="2"/>
    <w:uiPriority w:val="0"/>
    <w:rPr>
      <w:rFonts w:ascii="Arial" w:hAnsi="Arial" w:eastAsia="黑体"/>
      <w:b/>
      <w:kern w:val="2"/>
      <w:sz w:val="32"/>
    </w:rPr>
  </w:style>
  <w:style w:type="character" w:customStyle="1" w:styleId="31">
    <w:name w:val="postbody"/>
    <w:uiPriority w:val="0"/>
  </w:style>
  <w:style w:type="character" w:customStyle="1" w:styleId="32">
    <w:name w:val="纯文本 Char"/>
    <w:link w:val="4"/>
    <w:uiPriority w:val="0"/>
    <w:rPr>
      <w:rFonts w:ascii="宋体" w:hAnsi="Courier New" w:cs="Courier New"/>
      <w:kern w:val="2"/>
      <w:sz w:val="21"/>
      <w:szCs w:val="21"/>
    </w:rPr>
  </w:style>
  <w:style w:type="paragraph" w:customStyle="1" w:styleId="33">
    <w:name w:val="Char"/>
    <w:basedOn w:val="1"/>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6</Pages>
  <Words>430</Words>
  <Characters>2457</Characters>
  <Lines>20</Lines>
  <Paragraphs>5</Paragraphs>
  <TotalTime>0</TotalTime>
  <ScaleCrop>false</ScaleCrop>
  <LinksUpToDate>false</LinksUpToDate>
  <CharactersWithSpaces>2882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2016-10-19T05:16:00Z</dcterms:created>
  <dc:creator>MC SYSTEM</dc:creator>
  <cp:lastModifiedBy>yjj</cp:lastModifiedBy>
  <cp:lastPrinted>2012-02-10T10:51:00Z</cp:lastPrinted>
  <dcterms:modified xsi:type="dcterms:W3CDTF">2016-10-26T07:57:13Z</dcterms:modified>
  <dc:title>关于召开《化妆品卫生行政许可检验机构认定办法》修订工作座谈会的函</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